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7C" w:rsidRPr="0043458F" w:rsidRDefault="0037417C" w:rsidP="0037417C">
      <w:pPr>
        <w:pStyle w:val="Heading2"/>
        <w:rPr>
          <w:rFonts w:asciiTheme="minorHAnsi" w:hAnsiTheme="minorHAnsi"/>
          <w:sz w:val="20"/>
          <w:szCs w:val="20"/>
        </w:rPr>
      </w:pPr>
      <w:bookmarkStart w:id="0" w:name="_Toc287851756"/>
      <w:r w:rsidRPr="0043458F">
        <w:rPr>
          <w:rFonts w:asciiTheme="minorHAnsi" w:hAnsiTheme="minorHAnsi"/>
          <w:sz w:val="20"/>
          <w:szCs w:val="20"/>
        </w:rPr>
        <w:t>Engineering Design &amp; Product Development</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37417C" w:rsidRPr="0043458F" w:rsidTr="001D4642">
        <w:tc>
          <w:tcPr>
            <w:tcW w:w="2127" w:type="dxa"/>
          </w:tcPr>
          <w:p w:rsidR="0037417C" w:rsidRPr="0043458F" w:rsidRDefault="0037417C" w:rsidP="001D4642">
            <w:pPr>
              <w:pStyle w:val="PlainText"/>
              <w:tabs>
                <w:tab w:val="right" w:pos="1911"/>
              </w:tabs>
              <w:rPr>
                <w:rFonts w:asciiTheme="minorHAnsi" w:hAnsiTheme="minorHAnsi" w:cs="Arial"/>
                <w:b/>
              </w:rPr>
            </w:pPr>
            <w:r w:rsidRPr="0043458F">
              <w:rPr>
                <w:rFonts w:asciiTheme="minorHAnsi" w:hAnsiTheme="minorHAnsi" w:cs="Arial"/>
                <w:b/>
              </w:rPr>
              <w:t>Unit Title</w:t>
            </w:r>
            <w:r w:rsidRPr="0043458F">
              <w:rPr>
                <w:rFonts w:asciiTheme="minorHAnsi" w:hAnsiTheme="minorHAnsi" w:cs="Arial"/>
                <w:b/>
              </w:rPr>
              <w:tab/>
            </w:r>
          </w:p>
        </w:tc>
        <w:tc>
          <w:tcPr>
            <w:tcW w:w="6237" w:type="dxa"/>
          </w:tcPr>
          <w:p w:rsidR="0037417C" w:rsidRPr="0043458F" w:rsidRDefault="0037417C" w:rsidP="001D4642">
            <w:pPr>
              <w:pStyle w:val="PlainText"/>
              <w:rPr>
                <w:rFonts w:asciiTheme="minorHAnsi" w:hAnsiTheme="minorHAnsi" w:cs="Arial"/>
                <w:b/>
                <w:bCs/>
              </w:rPr>
            </w:pPr>
            <w:r w:rsidRPr="0043458F">
              <w:rPr>
                <w:rFonts w:asciiTheme="minorHAnsi" w:hAnsiTheme="minorHAnsi" w:cs="Arial"/>
                <w:b/>
              </w:rPr>
              <w:t>Engineering Design &amp; Product Development</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Level</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rPr>
              <w:t>Five</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Reference No.</w:t>
            </w:r>
          </w:p>
        </w:tc>
        <w:tc>
          <w:tcPr>
            <w:tcW w:w="6237" w:type="dxa"/>
          </w:tcPr>
          <w:p w:rsidR="0037417C" w:rsidRPr="0043458F" w:rsidRDefault="00F945CF" w:rsidP="001D4642">
            <w:pPr>
              <w:pStyle w:val="PlainText"/>
              <w:rPr>
                <w:rFonts w:asciiTheme="minorHAnsi" w:hAnsiTheme="minorHAnsi" w:cs="Arial"/>
                <w:color w:val="000000"/>
              </w:rPr>
            </w:pPr>
            <w:r w:rsidRPr="0043458F">
              <w:rPr>
                <w:rFonts w:asciiTheme="minorHAnsi" w:hAnsiTheme="minorHAnsi" w:cs="Arial"/>
                <w:color w:val="000000"/>
              </w:rPr>
              <w:t>EEC_5_426</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Credit Value</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color w:val="000000"/>
              </w:rPr>
              <w:t xml:space="preserve">30 CAT points </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Student Study Hours</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rPr>
              <w:t>Contact hours  104 hours</w:t>
            </w:r>
          </w:p>
          <w:p w:rsidR="0037417C" w:rsidRPr="0043458F" w:rsidRDefault="0037417C" w:rsidP="001D4642">
            <w:pPr>
              <w:pStyle w:val="PlainText"/>
              <w:rPr>
                <w:rFonts w:asciiTheme="minorHAnsi" w:hAnsiTheme="minorHAnsi" w:cs="Arial"/>
              </w:rPr>
            </w:pPr>
            <w:r w:rsidRPr="0043458F">
              <w:rPr>
                <w:rFonts w:asciiTheme="minorHAnsi" w:hAnsiTheme="minorHAnsi" w:cs="Arial"/>
              </w:rPr>
              <w:t>Student managed learning hours  196 hours</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Pre-requisite learning</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spacing w:val="-3"/>
              </w:rPr>
              <w:t>Engineering Workshop Theory and Practice (Level Four)</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Co-requisites</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spacing w:val="-3"/>
              </w:rPr>
              <w:t>None</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Excluded combinations</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spacing w:val="-3"/>
              </w:rPr>
              <w:t>None</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Unit co-ordinator</w:t>
            </w:r>
          </w:p>
        </w:tc>
        <w:tc>
          <w:tcPr>
            <w:tcW w:w="6237" w:type="dxa"/>
          </w:tcPr>
          <w:p w:rsidR="0037417C" w:rsidRPr="0043458F" w:rsidRDefault="0037417C" w:rsidP="001D4642">
            <w:pPr>
              <w:pStyle w:val="PlainText"/>
              <w:rPr>
                <w:rFonts w:asciiTheme="minorHAnsi" w:hAnsiTheme="minorHAnsi" w:cs="Arial"/>
                <w:bCs/>
              </w:rPr>
            </w:pPr>
            <w:r w:rsidRPr="0043458F">
              <w:rPr>
                <w:rFonts w:asciiTheme="minorHAnsi" w:hAnsiTheme="minorHAnsi" w:cs="Arial"/>
                <w:bCs/>
              </w:rPr>
              <w:t>Anthony Roberts</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Faculty/Division</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rPr>
              <w:t>Engineering Science and the Built Environment/ Department of Engineering and Design</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Short Description</w:t>
            </w:r>
          </w:p>
        </w:tc>
        <w:tc>
          <w:tcPr>
            <w:tcW w:w="6237" w:type="dxa"/>
          </w:tcPr>
          <w:p w:rsidR="0037417C" w:rsidRPr="0043458F" w:rsidRDefault="0037417C" w:rsidP="001D4642">
            <w:pPr>
              <w:pStyle w:val="BodyText"/>
              <w:rPr>
                <w:rFonts w:cs="Arial"/>
                <w:sz w:val="20"/>
                <w:szCs w:val="20"/>
              </w:rPr>
            </w:pPr>
            <w:r w:rsidRPr="0043458F">
              <w:rPr>
                <w:rFonts w:cs="Arial"/>
                <w:sz w:val="20"/>
                <w:szCs w:val="20"/>
              </w:rPr>
              <w:t xml:space="preserve">This unit is intended to extend the student’s understanding and ability of engineering design, enabling them to appropriately select and then apply established design theory alongside product development and prototyping techniques to effect comprehensive solutions to engineering problems.   </w:t>
            </w:r>
          </w:p>
        </w:tc>
      </w:tr>
      <w:tr w:rsidR="0037417C" w:rsidRPr="0043458F" w:rsidTr="001D4642">
        <w:trPr>
          <w:trHeight w:val="501"/>
        </w:trPr>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Aims</w:t>
            </w:r>
          </w:p>
          <w:p w:rsidR="0037417C" w:rsidRPr="0043458F" w:rsidRDefault="0037417C" w:rsidP="001D4642">
            <w:pPr>
              <w:pStyle w:val="PlainText"/>
              <w:rPr>
                <w:rFonts w:asciiTheme="minorHAnsi" w:hAnsiTheme="minorHAnsi" w:cs="Arial"/>
                <w:b/>
              </w:rPr>
            </w:pPr>
          </w:p>
          <w:p w:rsidR="0037417C" w:rsidRPr="0043458F" w:rsidRDefault="0037417C" w:rsidP="001D4642">
            <w:pPr>
              <w:pStyle w:val="PlainText"/>
              <w:rPr>
                <w:rFonts w:asciiTheme="minorHAnsi" w:hAnsiTheme="minorHAnsi" w:cs="Arial"/>
                <w:b/>
              </w:rPr>
            </w:pPr>
          </w:p>
        </w:tc>
        <w:tc>
          <w:tcPr>
            <w:tcW w:w="6237" w:type="dxa"/>
          </w:tcPr>
          <w:p w:rsidR="0037417C" w:rsidRPr="0043458F" w:rsidRDefault="0037417C" w:rsidP="001D4642">
            <w:pPr>
              <w:spacing w:after="0" w:line="240" w:lineRule="auto"/>
              <w:rPr>
                <w:rFonts w:cs="Arial"/>
                <w:sz w:val="20"/>
                <w:szCs w:val="20"/>
              </w:rPr>
            </w:pPr>
            <w:r w:rsidRPr="0043458F">
              <w:rPr>
                <w:rFonts w:cs="Arial"/>
                <w:sz w:val="20"/>
                <w:szCs w:val="20"/>
              </w:rPr>
              <w:t>This unit aims to extend the students understanding and ability in the following areas:</w:t>
            </w:r>
          </w:p>
          <w:p w:rsidR="0037417C" w:rsidRPr="0043458F" w:rsidRDefault="0037417C" w:rsidP="0037417C">
            <w:pPr>
              <w:numPr>
                <w:ilvl w:val="0"/>
                <w:numId w:val="2"/>
              </w:numPr>
              <w:tabs>
                <w:tab w:val="right" w:pos="2977"/>
                <w:tab w:val="left" w:pos="3119"/>
              </w:tabs>
              <w:spacing w:after="0" w:line="240" w:lineRule="auto"/>
              <w:ind w:left="714" w:hanging="357"/>
              <w:rPr>
                <w:rFonts w:cs="Arial"/>
                <w:sz w:val="20"/>
                <w:szCs w:val="20"/>
              </w:rPr>
            </w:pPr>
            <w:r w:rsidRPr="0043458F">
              <w:rPr>
                <w:rFonts w:cs="Arial"/>
                <w:sz w:val="20"/>
                <w:szCs w:val="20"/>
              </w:rPr>
              <w:t>The use of established design theory to solve engineering problems.</w:t>
            </w:r>
          </w:p>
          <w:p w:rsidR="0037417C" w:rsidRPr="0043458F" w:rsidRDefault="0037417C" w:rsidP="0037417C">
            <w:pPr>
              <w:numPr>
                <w:ilvl w:val="0"/>
                <w:numId w:val="2"/>
              </w:numPr>
              <w:spacing w:after="0" w:line="240" w:lineRule="auto"/>
              <w:ind w:left="714" w:hanging="357"/>
              <w:rPr>
                <w:rFonts w:cs="Arial"/>
                <w:sz w:val="20"/>
                <w:szCs w:val="20"/>
              </w:rPr>
            </w:pPr>
            <w:r w:rsidRPr="0043458F">
              <w:rPr>
                <w:rFonts w:cs="Arial"/>
                <w:sz w:val="20"/>
                <w:szCs w:val="20"/>
              </w:rPr>
              <w:t>The use of computers in engineering design, and manufacturing.</w:t>
            </w:r>
          </w:p>
          <w:p w:rsidR="0037417C" w:rsidRPr="0043458F" w:rsidRDefault="0037417C" w:rsidP="0037417C">
            <w:pPr>
              <w:numPr>
                <w:ilvl w:val="0"/>
                <w:numId w:val="2"/>
              </w:numPr>
              <w:spacing w:after="0" w:line="240" w:lineRule="auto"/>
              <w:ind w:left="714" w:hanging="357"/>
              <w:rPr>
                <w:rFonts w:cs="Arial"/>
                <w:sz w:val="20"/>
                <w:szCs w:val="20"/>
              </w:rPr>
            </w:pPr>
            <w:r w:rsidRPr="0043458F">
              <w:rPr>
                <w:rFonts w:cs="Arial"/>
                <w:sz w:val="20"/>
                <w:szCs w:val="20"/>
              </w:rPr>
              <w:t>Communication of design ideas through specifications, concept sketches and visual presentations.</w:t>
            </w:r>
          </w:p>
          <w:p w:rsidR="0037417C" w:rsidRPr="0043458F" w:rsidRDefault="0037417C" w:rsidP="0037417C">
            <w:pPr>
              <w:numPr>
                <w:ilvl w:val="0"/>
                <w:numId w:val="2"/>
              </w:numPr>
              <w:tabs>
                <w:tab w:val="right" w:pos="2977"/>
                <w:tab w:val="left" w:pos="3119"/>
              </w:tabs>
              <w:spacing w:after="0" w:line="240" w:lineRule="auto"/>
              <w:ind w:left="714" w:hanging="357"/>
              <w:rPr>
                <w:rFonts w:cs="Arial"/>
                <w:sz w:val="20"/>
                <w:szCs w:val="20"/>
              </w:rPr>
            </w:pPr>
            <w:r w:rsidRPr="0043458F">
              <w:rPr>
                <w:rFonts w:cs="Arial"/>
                <w:sz w:val="20"/>
                <w:szCs w:val="20"/>
              </w:rPr>
              <w:t>Prototyping and development of physical models to demonstrate effectiveness of design ideas.</w:t>
            </w: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Learning Outcomes</w:t>
            </w:r>
          </w:p>
        </w:tc>
        <w:tc>
          <w:tcPr>
            <w:tcW w:w="6237" w:type="dxa"/>
          </w:tcPr>
          <w:p w:rsidR="0037417C" w:rsidRPr="0043458F" w:rsidRDefault="0037417C" w:rsidP="001D4642">
            <w:pPr>
              <w:pStyle w:val="PlainText"/>
              <w:rPr>
                <w:rFonts w:asciiTheme="minorHAnsi" w:hAnsiTheme="minorHAnsi" w:cs="Arial"/>
              </w:rPr>
            </w:pPr>
            <w:r w:rsidRPr="0043458F">
              <w:rPr>
                <w:rFonts w:asciiTheme="minorHAnsi" w:hAnsiTheme="minorHAnsi" w:cs="Arial"/>
              </w:rPr>
              <w:t>At the end of this unit students will be able to:</w:t>
            </w:r>
          </w:p>
          <w:p w:rsidR="0037417C" w:rsidRPr="0043458F" w:rsidRDefault="0037417C" w:rsidP="0037417C">
            <w:pPr>
              <w:numPr>
                <w:ilvl w:val="0"/>
                <w:numId w:val="3"/>
              </w:numPr>
              <w:autoSpaceDE w:val="0"/>
              <w:autoSpaceDN w:val="0"/>
              <w:adjustRightInd w:val="0"/>
              <w:spacing w:after="0" w:line="240" w:lineRule="auto"/>
              <w:rPr>
                <w:rFonts w:cs="Arial"/>
                <w:bCs/>
                <w:sz w:val="20"/>
                <w:szCs w:val="20"/>
                <w:lang w:eastAsia="en-GB"/>
              </w:rPr>
            </w:pPr>
            <w:r w:rsidRPr="0043458F">
              <w:rPr>
                <w:rFonts w:cs="Arial"/>
                <w:bCs/>
                <w:sz w:val="20"/>
                <w:szCs w:val="20"/>
                <w:lang w:eastAsia="en-GB"/>
              </w:rPr>
              <w:t>Analyse an open-ended problem, present a range of detailed proposals and subsequently develop viable solutions.</w:t>
            </w:r>
          </w:p>
          <w:p w:rsidR="0037417C" w:rsidRPr="0043458F" w:rsidRDefault="0037417C" w:rsidP="0037417C">
            <w:pPr>
              <w:numPr>
                <w:ilvl w:val="0"/>
                <w:numId w:val="3"/>
              </w:numPr>
              <w:tabs>
                <w:tab w:val="num" w:pos="645"/>
              </w:tabs>
              <w:autoSpaceDE w:val="0"/>
              <w:autoSpaceDN w:val="0"/>
              <w:adjustRightInd w:val="0"/>
              <w:spacing w:after="0" w:line="240" w:lineRule="auto"/>
              <w:rPr>
                <w:rFonts w:cs="Arial"/>
                <w:bCs/>
                <w:sz w:val="20"/>
                <w:szCs w:val="20"/>
                <w:lang w:eastAsia="en-GB"/>
              </w:rPr>
            </w:pPr>
            <w:r w:rsidRPr="0043458F">
              <w:rPr>
                <w:rFonts w:cs="Arial"/>
                <w:bCs/>
                <w:sz w:val="20"/>
                <w:szCs w:val="20"/>
                <w:lang w:eastAsia="en-GB"/>
              </w:rPr>
              <w:t>Evaluate their design ideas by self-selecting then adapting schemes based on a range of established design methodologies.</w:t>
            </w:r>
          </w:p>
          <w:p w:rsidR="0037417C" w:rsidRPr="0043458F" w:rsidRDefault="0037417C" w:rsidP="0037417C">
            <w:pPr>
              <w:numPr>
                <w:ilvl w:val="0"/>
                <w:numId w:val="3"/>
              </w:numPr>
              <w:tabs>
                <w:tab w:val="num" w:pos="645"/>
              </w:tabs>
              <w:autoSpaceDE w:val="0"/>
              <w:autoSpaceDN w:val="0"/>
              <w:adjustRightInd w:val="0"/>
              <w:spacing w:after="0" w:line="240" w:lineRule="auto"/>
              <w:rPr>
                <w:rFonts w:cs="Arial"/>
                <w:bCs/>
                <w:sz w:val="20"/>
                <w:szCs w:val="20"/>
                <w:lang w:eastAsia="en-GB"/>
              </w:rPr>
            </w:pPr>
            <w:r w:rsidRPr="0043458F">
              <w:rPr>
                <w:rFonts w:cs="Arial"/>
                <w:spacing w:val="-3"/>
                <w:sz w:val="20"/>
                <w:szCs w:val="20"/>
              </w:rPr>
              <w:t>Understand the relationship between design and manufacture.</w:t>
            </w:r>
            <w:r w:rsidRPr="0043458F">
              <w:rPr>
                <w:rFonts w:cs="Arial"/>
                <w:sz w:val="20"/>
                <w:szCs w:val="20"/>
              </w:rPr>
              <w:t xml:space="preserve"> </w:t>
            </w:r>
          </w:p>
          <w:p w:rsidR="0037417C" w:rsidRPr="0043458F" w:rsidRDefault="0037417C" w:rsidP="0037417C">
            <w:pPr>
              <w:numPr>
                <w:ilvl w:val="0"/>
                <w:numId w:val="3"/>
              </w:numPr>
              <w:spacing w:after="0" w:line="240" w:lineRule="auto"/>
              <w:rPr>
                <w:rFonts w:cs="Arial"/>
                <w:sz w:val="20"/>
                <w:szCs w:val="20"/>
              </w:rPr>
            </w:pPr>
            <w:r w:rsidRPr="0043458F">
              <w:rPr>
                <w:rFonts w:cs="Arial"/>
                <w:sz w:val="20"/>
                <w:szCs w:val="20"/>
              </w:rPr>
              <w:t>Use a range of computing tools to communicate design ideas, produce 3D development models for virtual testing and output to direct manufacturing.</w:t>
            </w:r>
          </w:p>
          <w:p w:rsidR="0037417C" w:rsidRPr="0043458F" w:rsidRDefault="0037417C" w:rsidP="001D4642">
            <w:pPr>
              <w:pStyle w:val="PlainText"/>
              <w:rPr>
                <w:rFonts w:asciiTheme="minorHAnsi" w:hAnsiTheme="minorHAnsi" w:cs="Arial"/>
              </w:rPr>
            </w:pPr>
          </w:p>
          <w:p w:rsidR="0037417C" w:rsidRPr="0043458F" w:rsidRDefault="0037417C" w:rsidP="0037417C">
            <w:pPr>
              <w:pStyle w:val="PlainText"/>
              <w:numPr>
                <w:ilvl w:val="0"/>
                <w:numId w:val="3"/>
              </w:numPr>
              <w:rPr>
                <w:rFonts w:asciiTheme="minorHAnsi" w:hAnsiTheme="minorHAnsi" w:cs="Arial"/>
              </w:rPr>
            </w:pPr>
            <w:r w:rsidRPr="0043458F">
              <w:rPr>
                <w:rFonts w:asciiTheme="minorHAnsi" w:hAnsiTheme="minorHAnsi" w:cs="Arial"/>
                <w:spacing w:val="-3"/>
              </w:rPr>
              <w:t>Manufacture a product from specifications, design data and tolerances.</w:t>
            </w:r>
          </w:p>
          <w:p w:rsidR="0037417C" w:rsidRPr="0043458F" w:rsidRDefault="0037417C" w:rsidP="001D4642">
            <w:pPr>
              <w:pStyle w:val="ListParagraph"/>
              <w:rPr>
                <w:rFonts w:asciiTheme="minorHAnsi" w:hAnsiTheme="minorHAnsi" w:cs="Arial"/>
                <w:szCs w:val="20"/>
              </w:rPr>
            </w:pPr>
          </w:p>
          <w:p w:rsidR="0037417C" w:rsidRPr="0043458F" w:rsidRDefault="0037417C" w:rsidP="0037417C">
            <w:pPr>
              <w:pStyle w:val="PlainText"/>
              <w:numPr>
                <w:ilvl w:val="0"/>
                <w:numId w:val="3"/>
              </w:numPr>
              <w:rPr>
                <w:rFonts w:asciiTheme="minorHAnsi" w:hAnsiTheme="minorHAnsi" w:cs="Arial"/>
              </w:rPr>
            </w:pPr>
            <w:r w:rsidRPr="0043458F">
              <w:rPr>
                <w:rFonts w:asciiTheme="minorHAnsi" w:hAnsiTheme="minorHAnsi" w:cs="Arial"/>
              </w:rPr>
              <w:t>Appropriately select materials to optimise specified design requirements.</w:t>
            </w:r>
          </w:p>
          <w:p w:rsidR="0037417C" w:rsidRPr="0043458F" w:rsidRDefault="0037417C" w:rsidP="001D4642">
            <w:pPr>
              <w:pStyle w:val="PlainText"/>
              <w:rPr>
                <w:rFonts w:asciiTheme="minorHAnsi" w:hAnsiTheme="minorHAnsi" w:cs="Arial"/>
              </w:rPr>
            </w:pPr>
          </w:p>
          <w:p w:rsidR="0037417C" w:rsidRPr="0043458F" w:rsidRDefault="0037417C" w:rsidP="0037417C">
            <w:pPr>
              <w:pStyle w:val="PlainText"/>
              <w:numPr>
                <w:ilvl w:val="0"/>
                <w:numId w:val="3"/>
              </w:numPr>
              <w:rPr>
                <w:rFonts w:asciiTheme="minorHAnsi" w:hAnsiTheme="minorHAnsi" w:cs="Arial"/>
              </w:rPr>
            </w:pPr>
            <w:r w:rsidRPr="0043458F">
              <w:rPr>
                <w:rFonts w:asciiTheme="minorHAnsi" w:hAnsiTheme="minorHAnsi" w:cs="Arial"/>
                <w:spacing w:val="-3"/>
              </w:rPr>
              <w:t>Devise and carry out test procedures to measure the success or otherwise of the design.</w:t>
            </w:r>
          </w:p>
          <w:p w:rsidR="0037417C" w:rsidRPr="0043458F" w:rsidRDefault="0037417C" w:rsidP="001D4642">
            <w:pPr>
              <w:pStyle w:val="PlainText"/>
              <w:rPr>
                <w:rFonts w:asciiTheme="minorHAnsi" w:hAnsiTheme="minorHAnsi" w:cs="Arial"/>
              </w:rPr>
            </w:pP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Transferable Skills</w:t>
            </w:r>
          </w:p>
        </w:tc>
        <w:tc>
          <w:tcPr>
            <w:tcW w:w="6237" w:type="dxa"/>
          </w:tcPr>
          <w:p w:rsidR="0037417C" w:rsidRPr="0043458F" w:rsidRDefault="0037417C" w:rsidP="0037417C">
            <w:pPr>
              <w:numPr>
                <w:ilvl w:val="0"/>
                <w:numId w:val="1"/>
              </w:numPr>
              <w:tabs>
                <w:tab w:val="num" w:pos="600"/>
              </w:tabs>
              <w:spacing w:after="0" w:line="240" w:lineRule="auto"/>
              <w:ind w:left="600" w:hanging="283"/>
              <w:jc w:val="both"/>
              <w:rPr>
                <w:rFonts w:cs="Arial"/>
                <w:sz w:val="20"/>
                <w:szCs w:val="20"/>
              </w:rPr>
            </w:pPr>
            <w:r w:rsidRPr="0043458F">
              <w:rPr>
                <w:rFonts w:cs="Arial"/>
                <w:sz w:val="20"/>
                <w:szCs w:val="20"/>
              </w:rPr>
              <w:t>Communication through different types of drawing, discussion, written reports and presentations of engineering and design data.</w:t>
            </w:r>
          </w:p>
          <w:p w:rsidR="0037417C" w:rsidRPr="0043458F" w:rsidRDefault="0037417C" w:rsidP="0037417C">
            <w:pPr>
              <w:numPr>
                <w:ilvl w:val="0"/>
                <w:numId w:val="1"/>
              </w:numPr>
              <w:tabs>
                <w:tab w:val="num" w:pos="600"/>
              </w:tabs>
              <w:spacing w:after="0" w:line="240" w:lineRule="auto"/>
              <w:ind w:left="600" w:hanging="283"/>
              <w:jc w:val="both"/>
              <w:rPr>
                <w:rFonts w:cs="Arial"/>
                <w:sz w:val="20"/>
                <w:szCs w:val="20"/>
              </w:rPr>
            </w:pPr>
            <w:r w:rsidRPr="0043458F">
              <w:rPr>
                <w:rFonts w:cs="Arial"/>
                <w:sz w:val="20"/>
                <w:szCs w:val="20"/>
              </w:rPr>
              <w:t>Numeracy in the manipulation of quantitative data</w:t>
            </w:r>
          </w:p>
          <w:p w:rsidR="0037417C" w:rsidRPr="0043458F" w:rsidRDefault="0037417C" w:rsidP="0037417C">
            <w:pPr>
              <w:numPr>
                <w:ilvl w:val="0"/>
                <w:numId w:val="1"/>
              </w:numPr>
              <w:tabs>
                <w:tab w:val="num" w:pos="600"/>
              </w:tabs>
              <w:spacing w:after="0" w:line="240" w:lineRule="auto"/>
              <w:ind w:left="600" w:hanging="283"/>
              <w:jc w:val="both"/>
              <w:rPr>
                <w:rFonts w:cs="Arial"/>
                <w:sz w:val="20"/>
                <w:szCs w:val="20"/>
              </w:rPr>
            </w:pPr>
            <w:r w:rsidRPr="0043458F">
              <w:rPr>
                <w:rFonts w:cs="Arial"/>
                <w:sz w:val="20"/>
                <w:szCs w:val="20"/>
              </w:rPr>
              <w:t>Understanding methodologies for design and manufacture</w:t>
            </w:r>
          </w:p>
          <w:p w:rsidR="0037417C" w:rsidRPr="0043458F" w:rsidRDefault="0037417C" w:rsidP="0037417C">
            <w:pPr>
              <w:numPr>
                <w:ilvl w:val="0"/>
                <w:numId w:val="1"/>
              </w:numPr>
              <w:tabs>
                <w:tab w:val="num" w:pos="600"/>
              </w:tabs>
              <w:spacing w:after="0" w:line="240" w:lineRule="auto"/>
              <w:ind w:left="600" w:hanging="283"/>
              <w:jc w:val="both"/>
              <w:rPr>
                <w:rFonts w:cs="Arial"/>
                <w:sz w:val="20"/>
                <w:szCs w:val="20"/>
              </w:rPr>
            </w:pPr>
            <w:r w:rsidRPr="0043458F">
              <w:rPr>
                <w:rFonts w:cs="Arial"/>
                <w:sz w:val="20"/>
                <w:szCs w:val="20"/>
              </w:rPr>
              <w:t>Able to apply critical analysis to the evaluation of design solutions</w:t>
            </w:r>
          </w:p>
          <w:p w:rsidR="0037417C" w:rsidRPr="0043458F" w:rsidRDefault="0037417C" w:rsidP="001D4642">
            <w:pPr>
              <w:spacing w:after="0" w:line="240" w:lineRule="auto"/>
              <w:rPr>
                <w:rFonts w:cs="Arial"/>
                <w:sz w:val="20"/>
                <w:szCs w:val="20"/>
              </w:rPr>
            </w:pP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lastRenderedPageBreak/>
              <w:t>Teaching and learning pattern</w:t>
            </w:r>
          </w:p>
        </w:tc>
        <w:tc>
          <w:tcPr>
            <w:tcW w:w="6237" w:type="dxa"/>
          </w:tcPr>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 xml:space="preserve">The unit will be delivered over two semesters with material being split into three blocks of core material that will be delivered through a combination of keynote lectures, practical computing workshops. The hands-on tutor led sessions in the engineering and prototyping workshops will provide ample opportunity for students to produce physical prototypes in line with the issued assignments. </w:t>
            </w:r>
          </w:p>
          <w:p w:rsidR="0037417C" w:rsidRPr="0043458F" w:rsidRDefault="0037417C" w:rsidP="001D4642">
            <w:pPr>
              <w:autoSpaceDE w:val="0"/>
              <w:autoSpaceDN w:val="0"/>
              <w:adjustRightInd w:val="0"/>
              <w:spacing w:after="0" w:line="240" w:lineRule="auto"/>
              <w:rPr>
                <w:rFonts w:cs="Arial"/>
                <w:sz w:val="20"/>
                <w:szCs w:val="20"/>
              </w:rPr>
            </w:pP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The designated four hours of contact time would typically be broken down as indicated:</w:t>
            </w:r>
          </w:p>
          <w:p w:rsidR="0037417C" w:rsidRPr="0043458F" w:rsidRDefault="0037417C" w:rsidP="001D4642">
            <w:pPr>
              <w:autoSpaceDE w:val="0"/>
              <w:autoSpaceDN w:val="0"/>
              <w:adjustRightInd w:val="0"/>
              <w:spacing w:after="0" w:line="240" w:lineRule="auto"/>
              <w:rPr>
                <w:rFonts w:cs="Arial"/>
                <w:sz w:val="20"/>
                <w:szCs w:val="20"/>
              </w:rPr>
            </w:pP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Semester One</w:t>
            </w: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120 minutes – Keynote Lectures/seminars - key theory</w:t>
            </w: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120 minutes – Seminars/computing sessions – CAD</w:t>
            </w:r>
          </w:p>
          <w:p w:rsidR="0037417C" w:rsidRPr="0043458F" w:rsidRDefault="0037417C" w:rsidP="001D4642">
            <w:pPr>
              <w:autoSpaceDE w:val="0"/>
              <w:autoSpaceDN w:val="0"/>
              <w:adjustRightInd w:val="0"/>
              <w:spacing w:after="0" w:line="240" w:lineRule="auto"/>
              <w:rPr>
                <w:rFonts w:cs="Arial"/>
                <w:sz w:val="20"/>
                <w:szCs w:val="20"/>
              </w:rPr>
            </w:pP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Semester Two</w:t>
            </w:r>
          </w:p>
          <w:p w:rsidR="0037417C" w:rsidRPr="0043458F" w:rsidRDefault="0037417C" w:rsidP="001D4642">
            <w:pPr>
              <w:autoSpaceDE w:val="0"/>
              <w:autoSpaceDN w:val="0"/>
              <w:adjustRightInd w:val="0"/>
              <w:spacing w:after="0" w:line="240" w:lineRule="auto"/>
              <w:rPr>
                <w:rFonts w:cs="Arial"/>
                <w:sz w:val="20"/>
                <w:szCs w:val="20"/>
              </w:rPr>
            </w:pPr>
            <w:r w:rsidRPr="0043458F">
              <w:rPr>
                <w:rFonts w:cs="Arial"/>
                <w:sz w:val="20"/>
                <w:szCs w:val="20"/>
              </w:rPr>
              <w:t>240 minutes – Product development, Seminars/demonstrations and prototyping in the engineering workshops.</w:t>
            </w:r>
          </w:p>
          <w:p w:rsidR="0037417C" w:rsidRPr="0043458F" w:rsidRDefault="0037417C" w:rsidP="001D4642">
            <w:pPr>
              <w:autoSpaceDE w:val="0"/>
              <w:autoSpaceDN w:val="0"/>
              <w:adjustRightInd w:val="0"/>
              <w:spacing w:after="0" w:line="240" w:lineRule="auto"/>
              <w:rPr>
                <w:rFonts w:cs="Arial"/>
                <w:sz w:val="20"/>
                <w:szCs w:val="20"/>
              </w:rPr>
            </w:pP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Indicative content</w:t>
            </w:r>
          </w:p>
        </w:tc>
        <w:tc>
          <w:tcPr>
            <w:tcW w:w="6237" w:type="dxa"/>
          </w:tcPr>
          <w:p w:rsidR="0037417C" w:rsidRPr="0043458F" w:rsidRDefault="0037417C" w:rsidP="001D4642">
            <w:pPr>
              <w:tabs>
                <w:tab w:val="num" w:pos="720"/>
              </w:tabs>
              <w:spacing w:after="0" w:line="240" w:lineRule="auto"/>
              <w:rPr>
                <w:rFonts w:cs="Arial"/>
                <w:b/>
                <w:sz w:val="20"/>
                <w:szCs w:val="20"/>
              </w:rPr>
            </w:pPr>
          </w:p>
          <w:p w:rsidR="0037417C" w:rsidRPr="0043458F" w:rsidRDefault="0037417C" w:rsidP="001D4642">
            <w:pPr>
              <w:tabs>
                <w:tab w:val="num" w:pos="720"/>
              </w:tabs>
              <w:spacing w:after="0" w:line="240" w:lineRule="auto"/>
              <w:rPr>
                <w:rFonts w:cs="Arial"/>
                <w:b/>
                <w:sz w:val="20"/>
                <w:szCs w:val="20"/>
              </w:rPr>
            </w:pPr>
            <w:r w:rsidRPr="0043458F">
              <w:rPr>
                <w:rFonts w:cs="Arial"/>
                <w:b/>
                <w:sz w:val="20"/>
                <w:szCs w:val="20"/>
              </w:rPr>
              <w:t xml:space="preserve">Design Theory </w:t>
            </w:r>
          </w:p>
          <w:p w:rsidR="0037417C" w:rsidRPr="0043458F" w:rsidRDefault="0037417C" w:rsidP="001D4642">
            <w:pPr>
              <w:tabs>
                <w:tab w:val="num" w:pos="720"/>
              </w:tabs>
              <w:spacing w:after="0" w:line="240" w:lineRule="auto"/>
              <w:rPr>
                <w:rFonts w:eastAsia="PMingLiU" w:cs="Arial"/>
                <w:sz w:val="20"/>
                <w:szCs w:val="20"/>
              </w:rPr>
            </w:pPr>
            <w:r w:rsidRPr="0043458F">
              <w:rPr>
                <w:rFonts w:eastAsia="PMingLiU" w:cs="Arial"/>
                <w:sz w:val="20"/>
                <w:szCs w:val="20"/>
              </w:rPr>
              <w:t xml:space="preserve">The Engineering Design process. Problem definition. Understanding user behaviour. Product Design Specifications. </w:t>
            </w:r>
            <w:r w:rsidRPr="0043458F">
              <w:rPr>
                <w:rFonts w:cs="Arial"/>
                <w:color w:val="000000"/>
                <w:spacing w:val="-3"/>
                <w:sz w:val="20"/>
                <w:szCs w:val="20"/>
              </w:rPr>
              <w:t>Research and investigation.</w:t>
            </w:r>
            <w:r w:rsidRPr="0043458F">
              <w:rPr>
                <w:rFonts w:cs="Arial"/>
                <w:sz w:val="20"/>
                <w:szCs w:val="20"/>
              </w:rPr>
              <w:t xml:space="preserve"> Concept Generation. Design evaluation tools. </w:t>
            </w:r>
            <w:r w:rsidRPr="0043458F">
              <w:rPr>
                <w:rFonts w:eastAsia="PMingLiU" w:cs="Arial"/>
                <w:sz w:val="20"/>
                <w:szCs w:val="20"/>
              </w:rPr>
              <w:t xml:space="preserve">Detailed design. Design Management. Design process improvement. Integration of style and technology. New Product Development. Team integration and management. </w:t>
            </w:r>
          </w:p>
          <w:p w:rsidR="0037417C" w:rsidRPr="0043458F" w:rsidRDefault="0037417C" w:rsidP="001D4642">
            <w:pPr>
              <w:spacing w:after="0" w:line="240" w:lineRule="auto"/>
              <w:rPr>
                <w:rFonts w:cs="Arial"/>
                <w:sz w:val="20"/>
                <w:szCs w:val="20"/>
              </w:rPr>
            </w:pPr>
          </w:p>
          <w:p w:rsidR="0037417C" w:rsidRPr="0043458F" w:rsidRDefault="0037417C" w:rsidP="001D4642">
            <w:pPr>
              <w:spacing w:after="0" w:line="240" w:lineRule="auto"/>
              <w:rPr>
                <w:rFonts w:cs="Arial"/>
                <w:b/>
                <w:sz w:val="20"/>
                <w:szCs w:val="20"/>
              </w:rPr>
            </w:pPr>
            <w:r w:rsidRPr="0043458F">
              <w:rPr>
                <w:rFonts w:cs="Arial"/>
                <w:b/>
                <w:sz w:val="20"/>
                <w:szCs w:val="20"/>
              </w:rPr>
              <w:t xml:space="preserve">Engineering Design Communication </w:t>
            </w:r>
          </w:p>
          <w:p w:rsidR="0037417C" w:rsidRPr="0043458F" w:rsidRDefault="0037417C" w:rsidP="001D4642">
            <w:pPr>
              <w:spacing w:after="0" w:line="240" w:lineRule="auto"/>
              <w:rPr>
                <w:rFonts w:cs="Arial"/>
                <w:color w:val="000000"/>
                <w:spacing w:val="-3"/>
                <w:sz w:val="20"/>
                <w:szCs w:val="20"/>
              </w:rPr>
            </w:pPr>
            <w:r w:rsidRPr="0043458F">
              <w:rPr>
                <w:rFonts w:cs="Arial"/>
                <w:sz w:val="20"/>
                <w:szCs w:val="20"/>
              </w:rPr>
              <w:t xml:space="preserve">Review of orthographic drawing and associated drawing Standards. 2D sketching and constraints, feature based modelling. Modelling Strategies. History vs. Direct modelling. Surface modelling. Product data management. CAD Assemblies. </w:t>
            </w:r>
            <w:r w:rsidRPr="0043458F">
              <w:rPr>
                <w:rFonts w:cs="Arial"/>
                <w:color w:val="000000"/>
                <w:spacing w:val="-3"/>
                <w:sz w:val="20"/>
                <w:szCs w:val="20"/>
              </w:rPr>
              <w:t>Design for manufacture. CAD based evaluation and testing.</w:t>
            </w:r>
            <w:r w:rsidRPr="0043458F">
              <w:rPr>
                <w:rFonts w:cs="Arial"/>
                <w:sz w:val="20"/>
                <w:szCs w:val="20"/>
              </w:rPr>
              <w:t xml:space="preserve"> Classification of CAD hardware and software, Link to rapid prototyping technologies. Presentation and communication of data.</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b/>
                <w:color w:val="000000"/>
                <w:spacing w:val="-3"/>
                <w:sz w:val="20"/>
                <w:szCs w:val="20"/>
              </w:rPr>
            </w:pPr>
            <w:r w:rsidRPr="0043458F">
              <w:rPr>
                <w:rFonts w:cs="Arial"/>
                <w:b/>
                <w:color w:val="000000"/>
                <w:spacing w:val="-3"/>
                <w:sz w:val="20"/>
                <w:szCs w:val="20"/>
              </w:rPr>
              <w:t>Materials For Product Development</w:t>
            </w:r>
          </w:p>
          <w:p w:rsidR="0037417C" w:rsidRPr="0043458F" w:rsidRDefault="0037417C" w:rsidP="001D4642">
            <w:pPr>
              <w:spacing w:after="0" w:line="240" w:lineRule="auto"/>
              <w:rPr>
                <w:rFonts w:cs="Arial"/>
                <w:sz w:val="20"/>
                <w:szCs w:val="20"/>
              </w:rPr>
            </w:pPr>
            <w:r w:rsidRPr="0043458F">
              <w:rPr>
                <w:rFonts w:cs="Arial"/>
                <w:sz w:val="20"/>
                <w:szCs w:val="20"/>
              </w:rPr>
              <w:t>Metals, polymers and other materials: classifications, properties and performance for design. Selection of materials for strength, deflection, fatigue, thermal environments.  Corrosion mechanisms: factors and prevention methods. Material finishing processes: decorative and functional finishes.</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b/>
                <w:color w:val="000000"/>
                <w:spacing w:val="-3"/>
                <w:sz w:val="20"/>
                <w:szCs w:val="20"/>
              </w:rPr>
            </w:pPr>
            <w:r w:rsidRPr="0043458F">
              <w:rPr>
                <w:rFonts w:cs="Arial"/>
                <w:sz w:val="20"/>
                <w:szCs w:val="20"/>
              </w:rPr>
              <w:t>Structural behaviour of materials: analysis and design of load carrying elements: stress systems: design of load-carrying joints: shear, torsion: use of computer analysis techniques: behaviour of adhesive joints under load.</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b/>
                <w:color w:val="000000"/>
                <w:spacing w:val="-3"/>
                <w:sz w:val="20"/>
                <w:szCs w:val="20"/>
              </w:rPr>
            </w:pP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b/>
                <w:color w:val="000000"/>
                <w:spacing w:val="-3"/>
                <w:sz w:val="20"/>
                <w:szCs w:val="20"/>
              </w:rPr>
            </w:pPr>
            <w:r w:rsidRPr="0043458F">
              <w:rPr>
                <w:rFonts w:cs="Arial"/>
                <w:b/>
                <w:color w:val="000000"/>
                <w:spacing w:val="-3"/>
                <w:sz w:val="20"/>
                <w:szCs w:val="20"/>
              </w:rPr>
              <w:t>Product Development - Prototyping</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Prototype and model production. Input from research and investigation. Decision making in product development. Design Scheduling. Evaluation and testing. Relationship between form and production processes. Prototyping methods. Modelling methods.</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Product finishing.</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sz w:val="20"/>
                <w:szCs w:val="20"/>
              </w:rPr>
            </w:pP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t>Assessment</w:t>
            </w:r>
          </w:p>
          <w:p w:rsidR="0037417C" w:rsidRPr="0043458F" w:rsidRDefault="0037417C" w:rsidP="001D4642">
            <w:pPr>
              <w:pStyle w:val="PlainText"/>
              <w:rPr>
                <w:rFonts w:asciiTheme="minorHAnsi" w:hAnsiTheme="minorHAnsi" w:cs="Arial"/>
                <w:b/>
                <w:i/>
              </w:rPr>
            </w:pPr>
            <w:r w:rsidRPr="0043458F">
              <w:rPr>
                <w:rFonts w:asciiTheme="minorHAnsi" w:hAnsiTheme="minorHAnsi" w:cs="Arial"/>
                <w:b/>
              </w:rPr>
              <w:t>Elements &amp; weightings</w:t>
            </w:r>
          </w:p>
        </w:tc>
        <w:tc>
          <w:tcPr>
            <w:tcW w:w="6237" w:type="dxa"/>
          </w:tcPr>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This unit is assessed by 100% coursework. This comprises two equally weighted assignments.</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 xml:space="preserve">Assignment one - Integrates design theory with use of computing </w:t>
            </w:r>
            <w:r w:rsidRPr="0043458F">
              <w:rPr>
                <w:rFonts w:cs="Arial"/>
                <w:color w:val="000000"/>
                <w:spacing w:val="-3"/>
                <w:sz w:val="20"/>
                <w:szCs w:val="20"/>
              </w:rPr>
              <w:lastRenderedPageBreak/>
              <w:t>technology.</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 xml:space="preserve">Assignment two - Provides students with the opportunity to assimilate the taught material through the design, development and manufacture of a prototype in fulfilment of an open ended design problem. </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r w:rsidRPr="0043458F">
              <w:rPr>
                <w:rFonts w:cs="Arial"/>
                <w:color w:val="000000"/>
                <w:spacing w:val="-3"/>
                <w:sz w:val="20"/>
                <w:szCs w:val="20"/>
              </w:rPr>
              <w:t>For each assignment assessment are carried out as a staged process to enable close monitoring of student progress. Students must attain an overall mark of 40% to pass this unit.</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color w:val="000000"/>
                <w:spacing w:val="-3"/>
                <w:sz w:val="20"/>
                <w:szCs w:val="20"/>
              </w:rPr>
            </w:pPr>
          </w:p>
        </w:tc>
      </w:tr>
      <w:tr w:rsidR="0037417C" w:rsidRPr="0043458F" w:rsidTr="001D4642">
        <w:tc>
          <w:tcPr>
            <w:tcW w:w="2127" w:type="dxa"/>
          </w:tcPr>
          <w:p w:rsidR="0037417C" w:rsidRPr="0043458F" w:rsidRDefault="0037417C" w:rsidP="001D4642">
            <w:pPr>
              <w:pStyle w:val="PlainText"/>
              <w:rPr>
                <w:rFonts w:asciiTheme="minorHAnsi" w:hAnsiTheme="minorHAnsi" w:cs="Arial"/>
                <w:b/>
              </w:rPr>
            </w:pPr>
            <w:r w:rsidRPr="0043458F">
              <w:rPr>
                <w:rFonts w:asciiTheme="minorHAnsi" w:hAnsiTheme="minorHAnsi" w:cs="Arial"/>
                <w:b/>
              </w:rPr>
              <w:lastRenderedPageBreak/>
              <w:t>Indicative Sources</w:t>
            </w:r>
          </w:p>
          <w:p w:rsidR="0037417C" w:rsidRPr="0043458F" w:rsidRDefault="0037417C" w:rsidP="001D4642">
            <w:pPr>
              <w:pStyle w:val="PlainText"/>
              <w:rPr>
                <w:rFonts w:asciiTheme="minorHAnsi" w:hAnsiTheme="minorHAnsi" w:cs="Arial"/>
                <w:b/>
              </w:rPr>
            </w:pPr>
            <w:r w:rsidRPr="0043458F">
              <w:rPr>
                <w:rFonts w:asciiTheme="minorHAnsi" w:hAnsiTheme="minorHAnsi" w:cs="Arial"/>
                <w:b/>
                <w:i/>
              </w:rPr>
              <w:t>(Reading lists)</w:t>
            </w:r>
          </w:p>
          <w:p w:rsidR="0037417C" w:rsidRPr="0043458F" w:rsidRDefault="0037417C" w:rsidP="001D4642">
            <w:pPr>
              <w:pStyle w:val="PlainText"/>
              <w:rPr>
                <w:rFonts w:asciiTheme="minorHAnsi" w:hAnsiTheme="minorHAnsi" w:cs="Arial"/>
                <w:b/>
                <w:i/>
              </w:rPr>
            </w:pPr>
          </w:p>
        </w:tc>
        <w:tc>
          <w:tcPr>
            <w:tcW w:w="6237" w:type="dxa"/>
          </w:tcPr>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rPr>
                <w:rFonts w:cs="Arial"/>
                <w:sz w:val="20"/>
                <w:szCs w:val="20"/>
              </w:rPr>
            </w:pPr>
            <w:r w:rsidRPr="0043458F">
              <w:rPr>
                <w:rFonts w:cs="Arial"/>
                <w:sz w:val="20"/>
                <w:szCs w:val="20"/>
                <w:lang w:val="en-US"/>
              </w:rPr>
              <w:t>Core Texts:</w:t>
            </w:r>
          </w:p>
          <w:p w:rsidR="0037417C" w:rsidRPr="0043458F" w:rsidRDefault="0037417C" w:rsidP="001D4642">
            <w:pPr>
              <w:pStyle w:val="BodyTextIndent"/>
              <w:rPr>
                <w:rFonts w:asciiTheme="minorHAnsi" w:hAnsiTheme="minorHAnsi" w:cs="Arial"/>
              </w:rPr>
            </w:pPr>
            <w:r w:rsidRPr="0043458F">
              <w:rPr>
                <w:rFonts w:asciiTheme="minorHAnsi" w:hAnsiTheme="minorHAnsi" w:cs="Arial"/>
              </w:rPr>
              <w:t>Pugh S, Total design: Integrated Methods for Successful Product Engineering, Addison Wesley, ISBN 0-201-41639-5, 1997</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ind w:left="283"/>
              <w:rPr>
                <w:rFonts w:cs="Arial"/>
                <w:sz w:val="20"/>
                <w:szCs w:val="20"/>
              </w:rPr>
            </w:pPr>
            <w:r w:rsidRPr="0043458F">
              <w:rPr>
                <w:rFonts w:cs="Arial"/>
                <w:sz w:val="20"/>
                <w:szCs w:val="20"/>
              </w:rPr>
              <w:t xml:space="preserve"> </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ind w:left="283"/>
              <w:rPr>
                <w:rFonts w:cs="Arial"/>
                <w:sz w:val="20"/>
                <w:szCs w:val="20"/>
              </w:rPr>
            </w:pPr>
            <w:r w:rsidRPr="0043458F">
              <w:rPr>
                <w:rFonts w:cs="Arial"/>
                <w:sz w:val="20"/>
                <w:szCs w:val="20"/>
              </w:rPr>
              <w:t xml:space="preserve">Ulrich K, Steven </w:t>
            </w:r>
            <w:proofErr w:type="spellStart"/>
            <w:r w:rsidRPr="0043458F">
              <w:rPr>
                <w:rFonts w:cs="Arial"/>
                <w:sz w:val="20"/>
                <w:szCs w:val="20"/>
              </w:rPr>
              <w:t>Eppinger</w:t>
            </w:r>
            <w:proofErr w:type="spellEnd"/>
            <w:r w:rsidRPr="0043458F">
              <w:rPr>
                <w:rFonts w:cs="Arial"/>
                <w:sz w:val="20"/>
                <w:szCs w:val="20"/>
              </w:rPr>
              <w:t xml:space="preserve"> S, </w:t>
            </w:r>
            <w:hyperlink r:id="rId5" w:history="1">
              <w:r w:rsidRPr="0043458F">
                <w:rPr>
                  <w:rFonts w:cs="Arial"/>
                  <w:sz w:val="20"/>
                  <w:szCs w:val="20"/>
                </w:rPr>
                <w:t>Product Design and Development</w:t>
              </w:r>
            </w:hyperlink>
            <w:r w:rsidRPr="0043458F">
              <w:rPr>
                <w:rFonts w:cs="Arial"/>
                <w:sz w:val="20"/>
                <w:szCs w:val="20"/>
              </w:rPr>
              <w:t xml:space="preserve"> McGraw-Hill International, ISBN 978-0071259477,</w:t>
            </w:r>
            <w:r w:rsidRPr="0043458F">
              <w:rPr>
                <w:rFonts w:cs="Arial"/>
                <w:sz w:val="20"/>
                <w:szCs w:val="20"/>
                <w:lang w:val="en-US"/>
              </w:rPr>
              <w:t xml:space="preserve"> </w:t>
            </w:r>
            <w:r w:rsidRPr="0043458F">
              <w:rPr>
                <w:rFonts w:cs="Arial"/>
                <w:sz w:val="20"/>
                <w:szCs w:val="20"/>
              </w:rPr>
              <w:t>2007</w:t>
            </w:r>
          </w:p>
          <w:p w:rsidR="0037417C" w:rsidRPr="0043458F" w:rsidRDefault="0037417C" w:rsidP="001D4642">
            <w:pPr>
              <w:pStyle w:val="BodyTextIndent"/>
              <w:rPr>
                <w:rFonts w:asciiTheme="minorHAnsi" w:hAnsiTheme="minorHAnsi" w:cs="Arial"/>
                <w:i/>
              </w:rPr>
            </w:pPr>
          </w:p>
          <w:p w:rsidR="0037417C" w:rsidRPr="0043458F" w:rsidRDefault="0037417C" w:rsidP="001D4642">
            <w:pPr>
              <w:pStyle w:val="BodyTextIndent"/>
              <w:rPr>
                <w:rFonts w:asciiTheme="minorHAnsi" w:hAnsiTheme="minorHAnsi" w:cs="Arial"/>
              </w:rPr>
            </w:pPr>
            <w:proofErr w:type="spellStart"/>
            <w:r w:rsidRPr="0043458F">
              <w:rPr>
                <w:rFonts w:asciiTheme="minorHAnsi" w:hAnsiTheme="minorHAnsi" w:cs="Arial"/>
              </w:rPr>
              <w:t>Lidwell</w:t>
            </w:r>
            <w:proofErr w:type="spellEnd"/>
            <w:r w:rsidRPr="0043458F">
              <w:rPr>
                <w:rFonts w:asciiTheme="minorHAnsi" w:hAnsiTheme="minorHAnsi" w:cs="Arial"/>
              </w:rPr>
              <w:t xml:space="preserve"> W, Universal Principles of Design,</w:t>
            </w:r>
            <w:r w:rsidRPr="0043458F">
              <w:rPr>
                <w:rFonts w:asciiTheme="minorHAnsi" w:hAnsiTheme="minorHAnsi" w:cs="Arial"/>
                <w:i/>
              </w:rPr>
              <w:t xml:space="preserve"> </w:t>
            </w:r>
            <w:r w:rsidRPr="0043458F">
              <w:rPr>
                <w:rFonts w:asciiTheme="minorHAnsi" w:hAnsiTheme="minorHAnsi" w:cs="Arial"/>
              </w:rPr>
              <w:t>Rockport Publishers, ISBN 978-1592530076, 2007</w:t>
            </w:r>
          </w:p>
          <w:p w:rsidR="0037417C" w:rsidRPr="0043458F" w:rsidRDefault="0037417C" w:rsidP="001D4642">
            <w:pPr>
              <w:pStyle w:val="BodyTextIndent"/>
              <w:ind w:left="0"/>
              <w:rPr>
                <w:rFonts w:asciiTheme="minorHAnsi" w:hAnsiTheme="minorHAnsi" w:cs="Arial"/>
              </w:rPr>
            </w:pPr>
          </w:p>
          <w:p w:rsidR="0037417C" w:rsidRPr="0043458F" w:rsidRDefault="0037417C" w:rsidP="001D4642">
            <w:pPr>
              <w:pStyle w:val="BodyTextIndent"/>
              <w:ind w:left="0"/>
              <w:rPr>
                <w:rFonts w:asciiTheme="minorHAnsi" w:hAnsiTheme="minorHAnsi" w:cs="Arial"/>
              </w:rPr>
            </w:pPr>
            <w:r w:rsidRPr="0043458F">
              <w:rPr>
                <w:rFonts w:asciiTheme="minorHAnsi" w:hAnsiTheme="minorHAnsi" w:cs="Arial"/>
              </w:rPr>
              <w:t>Background Texts:</w:t>
            </w:r>
          </w:p>
          <w:p w:rsidR="0037417C" w:rsidRPr="0043458F" w:rsidRDefault="0037417C" w:rsidP="001D4642">
            <w:pPr>
              <w:pStyle w:val="BodyTextIndent"/>
              <w:ind w:left="0"/>
              <w:rPr>
                <w:rFonts w:asciiTheme="minorHAnsi" w:hAnsiTheme="minorHAnsi" w:cs="Arial"/>
              </w:rPr>
            </w:pPr>
          </w:p>
          <w:p w:rsidR="0037417C" w:rsidRPr="0043458F" w:rsidRDefault="0037417C" w:rsidP="001D4642">
            <w:pPr>
              <w:pStyle w:val="BodyTextIndent"/>
              <w:rPr>
                <w:rFonts w:asciiTheme="minorHAnsi" w:hAnsiTheme="minorHAnsi" w:cs="Arial"/>
              </w:rPr>
            </w:pPr>
            <w:r w:rsidRPr="0043458F">
              <w:rPr>
                <w:rFonts w:asciiTheme="minorHAnsi" w:hAnsiTheme="minorHAnsi" w:cs="Arial"/>
              </w:rPr>
              <w:t>Lockhart S D &amp; Johnson C M, Engineering Design Communication, Prentice Hall, ISBN 0-201-33151-9, 2000</w:t>
            </w:r>
          </w:p>
          <w:p w:rsidR="0037417C" w:rsidRPr="0043458F" w:rsidRDefault="0037417C" w:rsidP="001D4642">
            <w:pPr>
              <w:pStyle w:val="BodyTextIndent"/>
              <w:rPr>
                <w:rFonts w:asciiTheme="minorHAnsi" w:hAnsiTheme="minorHAnsi" w:cs="Arial"/>
              </w:rPr>
            </w:pPr>
          </w:p>
          <w:p w:rsidR="0037417C" w:rsidRPr="0043458F" w:rsidRDefault="0037417C" w:rsidP="001D4642">
            <w:pPr>
              <w:pStyle w:val="BodyTextIndent"/>
              <w:rPr>
                <w:rFonts w:asciiTheme="minorHAnsi" w:hAnsiTheme="minorHAnsi" w:cs="Arial"/>
              </w:rPr>
            </w:pPr>
            <w:r w:rsidRPr="0043458F">
              <w:rPr>
                <w:rFonts w:asciiTheme="minorHAnsi" w:hAnsiTheme="minorHAnsi" w:cs="Arial"/>
              </w:rPr>
              <w:t xml:space="preserve">J, </w:t>
            </w:r>
            <w:hyperlink r:id="rId6" w:history="1">
              <w:r w:rsidRPr="0043458F">
                <w:rPr>
                  <w:rFonts w:asciiTheme="minorHAnsi" w:hAnsiTheme="minorHAnsi" w:cs="Arial"/>
                </w:rPr>
                <w:t>Vogel</w:t>
              </w:r>
            </w:hyperlink>
            <w:r w:rsidRPr="0043458F">
              <w:rPr>
                <w:rFonts w:asciiTheme="minorHAnsi" w:hAnsiTheme="minorHAnsi" w:cs="Arial"/>
              </w:rPr>
              <w:t xml:space="preserve"> C, Creating Breakthrough Products: Innovation from Product Planning to Program Approval,  Prentice Hall, ISBN 978-0132618625, 2002</w:t>
            </w:r>
          </w:p>
          <w:p w:rsidR="0037417C" w:rsidRPr="0043458F" w:rsidRDefault="0037417C" w:rsidP="001D4642">
            <w:pPr>
              <w:pStyle w:val="BodyTextIndent"/>
              <w:rPr>
                <w:rFonts w:asciiTheme="minorHAnsi" w:hAnsiTheme="minorHAnsi" w:cs="Arial"/>
              </w:rPr>
            </w:pPr>
          </w:p>
          <w:p w:rsidR="0037417C" w:rsidRPr="0043458F" w:rsidRDefault="0037417C" w:rsidP="001D4642">
            <w:pPr>
              <w:pStyle w:val="BodyTextIndent"/>
              <w:rPr>
                <w:rFonts w:asciiTheme="minorHAnsi" w:hAnsiTheme="minorHAnsi" w:cs="Arial"/>
              </w:rPr>
            </w:pPr>
            <w:r w:rsidRPr="0043458F">
              <w:rPr>
                <w:rFonts w:asciiTheme="minorHAnsi" w:hAnsiTheme="minorHAnsi" w:cs="Arial"/>
                <w:spacing w:val="-3"/>
              </w:rPr>
              <w:t>Ashby M, Johnson K,</w:t>
            </w:r>
            <w:r w:rsidRPr="0043458F">
              <w:rPr>
                <w:rFonts w:asciiTheme="minorHAnsi" w:hAnsiTheme="minorHAnsi" w:cs="Arial"/>
                <w:bCs/>
                <w:color w:val="000000"/>
              </w:rPr>
              <w:t xml:space="preserve"> Materials and Design: The Art and Science of Material Selection in Product Design,</w:t>
            </w:r>
            <w:r w:rsidRPr="0043458F">
              <w:rPr>
                <w:rFonts w:asciiTheme="minorHAnsi" w:hAnsiTheme="minorHAnsi" w:cs="Arial"/>
                <w:spacing w:val="-3"/>
              </w:rPr>
              <w:t xml:space="preserve"> Butterworth-Heinemann, ISBN </w:t>
            </w:r>
            <w:r w:rsidRPr="0043458F">
              <w:rPr>
                <w:rFonts w:asciiTheme="minorHAnsi" w:hAnsiTheme="minorHAnsi" w:cs="Arial"/>
              </w:rPr>
              <w:t>978-1856174978,</w:t>
            </w:r>
            <w:r w:rsidRPr="0043458F">
              <w:rPr>
                <w:rFonts w:asciiTheme="minorHAnsi" w:hAnsiTheme="minorHAnsi" w:cs="Arial"/>
                <w:spacing w:val="-3"/>
              </w:rPr>
              <w:t xml:space="preserve"> 2002</w:t>
            </w:r>
          </w:p>
          <w:p w:rsidR="0037417C" w:rsidRPr="0043458F" w:rsidRDefault="0037417C" w:rsidP="001D4642">
            <w:pPr>
              <w:tabs>
                <w:tab w:val="left" w:pos="-1440"/>
                <w:tab w:val="left" w:pos="-720"/>
                <w:tab w:val="left" w:pos="0"/>
                <w:tab w:val="left" w:pos="360"/>
                <w:tab w:val="left" w:pos="1440"/>
                <w:tab w:val="left" w:pos="2880"/>
                <w:tab w:val="left" w:pos="4320"/>
                <w:tab w:val="left" w:pos="5760"/>
                <w:tab w:val="left" w:pos="6912"/>
                <w:tab w:val="left" w:pos="8640"/>
                <w:tab w:val="left" w:pos="10080"/>
                <w:tab w:val="left" w:pos="11520"/>
                <w:tab w:val="left" w:pos="12960"/>
                <w:tab w:val="left" w:pos="14400"/>
                <w:tab w:val="left" w:pos="15840"/>
                <w:tab w:val="left" w:pos="17280"/>
                <w:tab w:val="left" w:pos="18720"/>
              </w:tabs>
              <w:suppressAutoHyphens/>
              <w:spacing w:after="0" w:line="240" w:lineRule="auto"/>
              <w:ind w:left="45"/>
              <w:rPr>
                <w:rFonts w:cs="Arial"/>
                <w:color w:val="000000"/>
                <w:spacing w:val="-3"/>
                <w:sz w:val="20"/>
                <w:szCs w:val="20"/>
              </w:rPr>
            </w:pPr>
          </w:p>
        </w:tc>
      </w:tr>
    </w:tbl>
    <w:p w:rsidR="00162DB3" w:rsidRDefault="0043458F"/>
    <w:sectPr w:rsidR="00162DB3"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90FF2"/>
    <w:multiLevelType w:val="hybridMultilevel"/>
    <w:tmpl w:val="EEDA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A811560"/>
    <w:multiLevelType w:val="hybridMultilevel"/>
    <w:tmpl w:val="799E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AC60C5"/>
    <w:multiLevelType w:val="hybridMultilevel"/>
    <w:tmpl w:val="333E5D44"/>
    <w:lvl w:ilvl="0" w:tplc="08090001">
      <w:start w:val="1"/>
      <w:numFmt w:val="bullet"/>
      <w:lvlText w:val=""/>
      <w:lvlJc w:val="left"/>
      <w:pPr>
        <w:tabs>
          <w:tab w:val="num" w:pos="1071"/>
        </w:tabs>
        <w:ind w:left="1071" w:hanging="360"/>
      </w:pPr>
      <w:rPr>
        <w:rFonts w:ascii="Symbol" w:hAnsi="Symbol" w:hint="default"/>
      </w:rPr>
    </w:lvl>
    <w:lvl w:ilvl="1" w:tplc="04090003" w:tentative="1">
      <w:start w:val="1"/>
      <w:numFmt w:val="bullet"/>
      <w:lvlText w:val="o"/>
      <w:lvlJc w:val="left"/>
      <w:pPr>
        <w:tabs>
          <w:tab w:val="num" w:pos="1791"/>
        </w:tabs>
        <w:ind w:left="1791" w:hanging="360"/>
      </w:pPr>
      <w:rPr>
        <w:rFonts w:ascii="Courier New" w:hAnsi="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17C"/>
    <w:rsid w:val="00222126"/>
    <w:rsid w:val="003227D8"/>
    <w:rsid w:val="00367550"/>
    <w:rsid w:val="0037417C"/>
    <w:rsid w:val="0043458F"/>
    <w:rsid w:val="0052149C"/>
    <w:rsid w:val="005B4E04"/>
    <w:rsid w:val="006A521C"/>
    <w:rsid w:val="007B63F4"/>
    <w:rsid w:val="00944D54"/>
    <w:rsid w:val="00976A44"/>
    <w:rsid w:val="00980D81"/>
    <w:rsid w:val="009C3F0B"/>
    <w:rsid w:val="00A1432B"/>
    <w:rsid w:val="00C10902"/>
    <w:rsid w:val="00D42778"/>
    <w:rsid w:val="00E34217"/>
    <w:rsid w:val="00F945CF"/>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7C"/>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3741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17C"/>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rsid w:val="0037417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7417C"/>
    <w:rPr>
      <w:rFonts w:ascii="Courier New" w:eastAsia="Times New Roman" w:hAnsi="Courier New" w:cs="Times New Roman"/>
      <w:sz w:val="20"/>
      <w:szCs w:val="20"/>
    </w:rPr>
  </w:style>
  <w:style w:type="paragraph" w:styleId="BodyTextIndent">
    <w:name w:val="Body Text Indent"/>
    <w:basedOn w:val="Normal"/>
    <w:link w:val="BodyTextIndentChar"/>
    <w:rsid w:val="0037417C"/>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7417C"/>
    <w:rPr>
      <w:rFonts w:ascii="Times New Roman" w:eastAsia="Times New Roman" w:hAnsi="Times New Roman" w:cs="Times New Roman"/>
      <w:sz w:val="20"/>
      <w:szCs w:val="20"/>
    </w:rPr>
  </w:style>
  <w:style w:type="paragraph" w:styleId="ListParagraph">
    <w:name w:val="List Paragraph"/>
    <w:basedOn w:val="Normal"/>
    <w:uiPriority w:val="34"/>
    <w:qFormat/>
    <w:rsid w:val="0037417C"/>
    <w:pPr>
      <w:spacing w:after="0" w:line="240" w:lineRule="auto"/>
      <w:ind w:left="720"/>
      <w:contextualSpacing/>
    </w:pPr>
    <w:rPr>
      <w:rFonts w:ascii="Arial" w:eastAsia="Times New Roman" w:hAnsi="Arial" w:cs="Times New Roman"/>
      <w:sz w:val="20"/>
      <w:szCs w:val="24"/>
    </w:rPr>
  </w:style>
  <w:style w:type="paragraph" w:styleId="BodyText">
    <w:name w:val="Body Text"/>
    <w:basedOn w:val="Normal"/>
    <w:link w:val="BodyTextChar"/>
    <w:unhideWhenUsed/>
    <w:rsid w:val="0037417C"/>
    <w:pPr>
      <w:spacing w:after="120"/>
    </w:pPr>
  </w:style>
  <w:style w:type="character" w:customStyle="1" w:styleId="BodyTextChar">
    <w:name w:val="Body Text Char"/>
    <w:basedOn w:val="DefaultParagraphFont"/>
    <w:link w:val="BodyText"/>
    <w:rsid w:val="0037417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exec/obidos/search-handle-url/index=books&amp;field-author=Craig%20M.%20Vogel/002-9757547-8573633" TargetMode="External"/><Relationship Id="rId5" Type="http://schemas.openxmlformats.org/officeDocument/2006/relationships/hyperlink" Target="http://www.amazon.com/exec/obidos/tg/detail/-/0072471468/qid=1114096839/sr=1-4/ref=sr_1_4/002-9757547-8573633?v=glance&amp;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0</DocSecurity>
  <Lines>45</Lines>
  <Paragraphs>12</Paragraphs>
  <ScaleCrop>false</ScaleCrop>
  <Company>London South Bank University</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3</cp:revision>
  <dcterms:created xsi:type="dcterms:W3CDTF">2011-05-16T13:10:00Z</dcterms:created>
  <dcterms:modified xsi:type="dcterms:W3CDTF">2011-07-07T14:58:00Z</dcterms:modified>
</cp:coreProperties>
</file>