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7"/>
      </w:tblGrid>
      <w:tr w:rsidR="00657822" w:rsidRPr="00877B6F" w:rsidTr="000A0CFA">
        <w:tc>
          <w:tcPr>
            <w:tcW w:w="2127" w:type="dxa"/>
            <w:tcBorders>
              <w:top w:val="single" w:sz="4" w:space="0" w:color="auto"/>
            </w:tcBorders>
            <w:shd w:val="clear" w:color="auto" w:fill="E5B8B7" w:themeFill="accent2" w:themeFillTint="66"/>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Unit Title</w:t>
            </w:r>
          </w:p>
        </w:tc>
        <w:tc>
          <w:tcPr>
            <w:tcW w:w="7087" w:type="dxa"/>
            <w:tcBorders>
              <w:top w:val="single" w:sz="4" w:space="0" w:color="auto"/>
            </w:tcBorders>
            <w:shd w:val="clear" w:color="auto" w:fill="E5B8B7" w:themeFill="accent2" w:themeFillTint="66"/>
          </w:tcPr>
          <w:p w:rsidR="00657822" w:rsidRPr="002920CF" w:rsidRDefault="00657822" w:rsidP="000A0CFA">
            <w:pPr>
              <w:pStyle w:val="Heading2"/>
              <w:spacing w:before="0"/>
              <w:rPr>
                <w:rFonts w:asciiTheme="minorHAnsi" w:hAnsiTheme="minorHAnsi" w:cstheme="minorHAnsi"/>
                <w:color w:val="auto"/>
                <w:sz w:val="20"/>
                <w:szCs w:val="20"/>
              </w:rPr>
            </w:pPr>
            <w:bookmarkStart w:id="0" w:name="_Toc285373959"/>
            <w:r w:rsidRPr="002920CF">
              <w:rPr>
                <w:rFonts w:asciiTheme="minorHAnsi" w:hAnsiTheme="minorHAnsi" w:cstheme="minorHAnsi"/>
                <w:color w:val="auto"/>
                <w:sz w:val="20"/>
                <w:szCs w:val="20"/>
              </w:rPr>
              <w:t>Manufacturing Systems and Materials Technologies</w:t>
            </w:r>
            <w:bookmarkEnd w:id="0"/>
            <w:r w:rsidRPr="002920CF">
              <w:rPr>
                <w:rFonts w:asciiTheme="minorHAnsi" w:hAnsiTheme="minorHAnsi" w:cstheme="minorHAnsi"/>
                <w:color w:val="auto"/>
                <w:sz w:val="20"/>
                <w:szCs w:val="20"/>
              </w:rPr>
              <w:t xml:space="preserve"> </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Level</w:t>
            </w:r>
          </w:p>
        </w:tc>
        <w:tc>
          <w:tcPr>
            <w:tcW w:w="7087" w:type="dxa"/>
          </w:tcPr>
          <w:p w:rsidR="00657822" w:rsidRPr="002920CF" w:rsidRDefault="00657822" w:rsidP="000A0CFA">
            <w:pPr>
              <w:rPr>
                <w:rFonts w:asciiTheme="minorHAnsi" w:hAnsiTheme="minorHAnsi" w:cstheme="minorHAnsi"/>
                <w:sz w:val="20"/>
                <w:szCs w:val="20"/>
              </w:rPr>
            </w:pPr>
            <w:r w:rsidRPr="002920CF">
              <w:rPr>
                <w:rFonts w:asciiTheme="minorHAnsi" w:hAnsiTheme="minorHAnsi" w:cstheme="minorHAnsi"/>
                <w:sz w:val="20"/>
                <w:szCs w:val="20"/>
              </w:rPr>
              <w:t>6</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Reference No.</w:t>
            </w:r>
          </w:p>
          <w:p w:rsidR="00657822" w:rsidRPr="002920CF" w:rsidRDefault="00657822" w:rsidP="000A0CFA">
            <w:pPr>
              <w:pStyle w:val="PlainText"/>
              <w:rPr>
                <w:rFonts w:asciiTheme="minorHAnsi" w:hAnsiTheme="minorHAnsi" w:cstheme="minorHAnsi"/>
                <w:b/>
                <w:i/>
                <w:sz w:val="20"/>
                <w:szCs w:val="20"/>
              </w:rPr>
            </w:pPr>
            <w:r w:rsidRPr="002920CF">
              <w:rPr>
                <w:rFonts w:asciiTheme="minorHAnsi" w:hAnsiTheme="minorHAnsi" w:cstheme="minorHAnsi"/>
                <w:b/>
                <w:i/>
                <w:sz w:val="20"/>
                <w:szCs w:val="20"/>
              </w:rPr>
              <w:t>(showing level)</w:t>
            </w:r>
          </w:p>
        </w:tc>
        <w:tc>
          <w:tcPr>
            <w:tcW w:w="7087" w:type="dxa"/>
          </w:tcPr>
          <w:p w:rsidR="00657822" w:rsidRPr="002920CF" w:rsidRDefault="00C0534D" w:rsidP="000A0CFA">
            <w:pPr>
              <w:rPr>
                <w:rFonts w:asciiTheme="minorHAnsi" w:hAnsiTheme="minorHAnsi" w:cstheme="minorHAnsi"/>
                <w:sz w:val="20"/>
                <w:szCs w:val="20"/>
              </w:rPr>
            </w:pPr>
            <w:r w:rsidRPr="002920CF">
              <w:rPr>
                <w:rFonts w:asciiTheme="minorHAnsi" w:hAnsiTheme="minorHAnsi" w:cstheme="minorHAnsi"/>
                <w:sz w:val="20"/>
                <w:szCs w:val="20"/>
              </w:rPr>
              <w:t>EEC_6_</w:t>
            </w:r>
            <w:r w:rsidR="00781726" w:rsidRPr="002920CF">
              <w:rPr>
                <w:rFonts w:asciiTheme="minorHAnsi" w:hAnsiTheme="minorHAnsi" w:cstheme="minorHAnsi"/>
                <w:sz w:val="20"/>
                <w:szCs w:val="20"/>
              </w:rPr>
              <w:t>107</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i/>
                <w:sz w:val="20"/>
                <w:szCs w:val="20"/>
              </w:rPr>
            </w:pPr>
            <w:r w:rsidRPr="002920CF">
              <w:rPr>
                <w:rFonts w:asciiTheme="minorHAnsi" w:hAnsiTheme="minorHAnsi" w:cstheme="minorHAnsi"/>
                <w:b/>
                <w:sz w:val="20"/>
                <w:szCs w:val="20"/>
              </w:rPr>
              <w:t>Credit Value</w:t>
            </w:r>
          </w:p>
        </w:tc>
        <w:tc>
          <w:tcPr>
            <w:tcW w:w="7087" w:type="dxa"/>
          </w:tcPr>
          <w:p w:rsidR="00657822" w:rsidRPr="002920CF" w:rsidRDefault="00657822" w:rsidP="000A0CFA">
            <w:pPr>
              <w:rPr>
                <w:rFonts w:asciiTheme="minorHAnsi" w:hAnsiTheme="minorHAnsi" w:cstheme="minorHAnsi"/>
                <w:sz w:val="20"/>
                <w:szCs w:val="20"/>
              </w:rPr>
            </w:pPr>
            <w:r w:rsidRPr="002920CF">
              <w:rPr>
                <w:rFonts w:asciiTheme="minorHAnsi" w:hAnsiTheme="minorHAnsi" w:cstheme="minorHAnsi"/>
                <w:sz w:val="20"/>
                <w:szCs w:val="20"/>
              </w:rPr>
              <w:t>30</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Student Study Hours</w:t>
            </w:r>
          </w:p>
        </w:tc>
        <w:tc>
          <w:tcPr>
            <w:tcW w:w="7087" w:type="dxa"/>
          </w:tcPr>
          <w:p w:rsidR="00657822" w:rsidRPr="002920CF" w:rsidRDefault="00657822" w:rsidP="000A0CFA">
            <w:pPr>
              <w:spacing w:after="0"/>
              <w:rPr>
                <w:rFonts w:asciiTheme="minorHAnsi" w:hAnsiTheme="minorHAnsi" w:cstheme="minorHAnsi"/>
                <w:sz w:val="20"/>
                <w:szCs w:val="20"/>
              </w:rPr>
            </w:pPr>
            <w:r w:rsidRPr="002920CF">
              <w:rPr>
                <w:rFonts w:asciiTheme="minorHAnsi" w:hAnsiTheme="minorHAnsi" w:cstheme="minorHAnsi"/>
                <w:sz w:val="20"/>
                <w:szCs w:val="20"/>
              </w:rPr>
              <w:t>Contact hours:                                  104</w:t>
            </w:r>
          </w:p>
          <w:p w:rsidR="00657822" w:rsidRPr="002920CF" w:rsidRDefault="00657822" w:rsidP="000A0CFA">
            <w:pPr>
              <w:spacing w:after="0"/>
              <w:rPr>
                <w:rFonts w:asciiTheme="minorHAnsi" w:hAnsiTheme="minorHAnsi" w:cstheme="minorHAnsi"/>
                <w:sz w:val="20"/>
                <w:szCs w:val="20"/>
              </w:rPr>
            </w:pPr>
            <w:r w:rsidRPr="002920CF">
              <w:rPr>
                <w:rFonts w:asciiTheme="minorHAnsi" w:hAnsiTheme="minorHAnsi" w:cstheme="minorHAnsi"/>
                <w:sz w:val="20"/>
                <w:szCs w:val="20"/>
              </w:rPr>
              <w:t>Student-managed learning hours:  196</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Pre-requisite learning</w:t>
            </w:r>
          </w:p>
        </w:tc>
        <w:tc>
          <w:tcPr>
            <w:tcW w:w="7087" w:type="dxa"/>
          </w:tcPr>
          <w:p w:rsidR="00657822" w:rsidRPr="002920CF" w:rsidRDefault="00657822" w:rsidP="000A0CFA">
            <w:pPr>
              <w:rPr>
                <w:rFonts w:asciiTheme="minorHAnsi" w:hAnsiTheme="minorHAnsi" w:cstheme="minorHAnsi"/>
                <w:sz w:val="20"/>
                <w:szCs w:val="20"/>
              </w:rPr>
            </w:pPr>
            <w:r w:rsidRPr="002920CF">
              <w:rPr>
                <w:rFonts w:asciiTheme="minorHAnsi" w:hAnsiTheme="minorHAnsi" w:cstheme="minorHAnsi"/>
                <w:sz w:val="20"/>
                <w:szCs w:val="20"/>
              </w:rPr>
              <w:t>Solid Mechanics and Dynamics</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Co-requisites</w:t>
            </w:r>
          </w:p>
        </w:tc>
        <w:tc>
          <w:tcPr>
            <w:tcW w:w="7087" w:type="dxa"/>
          </w:tcPr>
          <w:p w:rsidR="00657822" w:rsidRPr="002920CF" w:rsidRDefault="00657822" w:rsidP="000A0CFA">
            <w:pPr>
              <w:rPr>
                <w:rFonts w:ascii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Excluded combinations</w:t>
            </w:r>
          </w:p>
        </w:tc>
        <w:tc>
          <w:tcPr>
            <w:tcW w:w="7087" w:type="dxa"/>
          </w:tcPr>
          <w:p w:rsidR="00657822" w:rsidRPr="002920CF" w:rsidRDefault="00657822" w:rsidP="000A0CFA">
            <w:pPr>
              <w:rPr>
                <w:rFonts w:ascii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Unit co-ordinator</w:t>
            </w:r>
          </w:p>
        </w:tc>
        <w:tc>
          <w:tcPr>
            <w:tcW w:w="7087" w:type="dxa"/>
          </w:tcPr>
          <w:p w:rsidR="00657822" w:rsidRPr="002920CF" w:rsidRDefault="00F67AFB" w:rsidP="000A0CFA">
            <w:pPr>
              <w:rPr>
                <w:rFonts w:asciiTheme="minorHAnsi" w:hAnsiTheme="minorHAnsi" w:cstheme="minorHAnsi"/>
                <w:sz w:val="20"/>
                <w:szCs w:val="20"/>
              </w:rPr>
            </w:pPr>
            <w:proofErr w:type="spellStart"/>
            <w:r w:rsidRPr="002920CF">
              <w:rPr>
                <w:rFonts w:asciiTheme="minorHAnsi" w:hAnsiTheme="minorHAnsi"/>
                <w:color w:val="1F497D"/>
                <w:sz w:val="20"/>
                <w:szCs w:val="20"/>
              </w:rPr>
              <w:t>Yuching</w:t>
            </w:r>
            <w:proofErr w:type="spellEnd"/>
            <w:r w:rsidRPr="002920CF">
              <w:rPr>
                <w:rFonts w:asciiTheme="minorHAnsi" w:hAnsiTheme="minorHAnsi"/>
                <w:color w:val="1F497D"/>
                <w:sz w:val="20"/>
                <w:szCs w:val="20"/>
              </w:rPr>
              <w:t xml:space="preserve"> Bao</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Faculty/Department</w:t>
            </w:r>
          </w:p>
        </w:tc>
        <w:tc>
          <w:tcPr>
            <w:tcW w:w="7087" w:type="dxa"/>
          </w:tcPr>
          <w:p w:rsidR="00657822" w:rsidRPr="002920CF" w:rsidRDefault="00657822" w:rsidP="000A0CFA">
            <w:pPr>
              <w:rPr>
                <w:rFonts w:asciiTheme="minorHAnsi" w:hAnsiTheme="minorHAnsi" w:cstheme="minorHAnsi"/>
                <w:sz w:val="20"/>
                <w:szCs w:val="20"/>
              </w:rPr>
            </w:pPr>
            <w:r w:rsidRPr="002920CF">
              <w:rPr>
                <w:rFonts w:asciiTheme="minorHAnsi" w:hAnsiTheme="minorHAnsi" w:cstheme="minorHAnsi"/>
                <w:sz w:val="20"/>
                <w:szCs w:val="20"/>
              </w:rPr>
              <w:t>ESBE / Engineering &amp; Design</w:t>
            </w: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Short Description</w:t>
            </w:r>
          </w:p>
        </w:tc>
        <w:tc>
          <w:tcPr>
            <w:tcW w:w="7087" w:type="dxa"/>
          </w:tcPr>
          <w:p w:rsidR="00657822" w:rsidRPr="002920CF" w:rsidRDefault="00657822" w:rsidP="000A0CFA">
            <w:pPr>
              <w:spacing w:after="60" w:line="240" w:lineRule="auto"/>
              <w:jc w:val="both"/>
              <w:rPr>
                <w:rFonts w:asciiTheme="minorHAnsi" w:hAnsiTheme="minorHAnsi" w:cstheme="minorHAnsi"/>
                <w:sz w:val="20"/>
                <w:szCs w:val="20"/>
              </w:rPr>
            </w:pPr>
            <w:r w:rsidRPr="002920CF">
              <w:rPr>
                <w:rFonts w:asciiTheme="minorHAnsi" w:hAnsiTheme="minorHAnsi" w:cstheme="minorHAnsi"/>
                <w:sz w:val="20"/>
                <w:szCs w:val="20"/>
              </w:rPr>
              <w:t>The unit provides an understanding of the scope of materials technologies and the integrative role of materials selection in engineering. In addition, it explains technological change and innovation in materials, as well as sustainable and environmentally compatible technologies. It provides an understanding of elasticity, finite elements, plasticity and fracture of different materials and their application to practical engineering problems.</w:t>
            </w:r>
          </w:p>
          <w:p w:rsidR="00657822" w:rsidRDefault="00657822" w:rsidP="000A0CFA">
            <w:pPr>
              <w:spacing w:after="60" w:line="240" w:lineRule="auto"/>
              <w:jc w:val="both"/>
              <w:rPr>
                <w:rFonts w:asciiTheme="minorHAnsi" w:hAnsiTheme="minorHAnsi" w:cstheme="minorHAnsi"/>
                <w:sz w:val="20"/>
                <w:szCs w:val="20"/>
              </w:rPr>
            </w:pPr>
            <w:r w:rsidRPr="002920CF">
              <w:rPr>
                <w:rFonts w:asciiTheme="minorHAnsi" w:hAnsiTheme="minorHAnsi" w:cstheme="minorHAnsi"/>
                <w:sz w:val="20"/>
                <w:szCs w:val="20"/>
              </w:rPr>
              <w:t>The second art of the unit introduces the concept of manufacturing systems (including integrated manufacturing), their applications as fundamental elements of the contemporary product realisation process, and the issues involved in their management.</w:t>
            </w:r>
          </w:p>
          <w:p w:rsidR="002920CF" w:rsidRPr="002920CF" w:rsidRDefault="002920CF" w:rsidP="000A0CFA">
            <w:pPr>
              <w:spacing w:after="60" w:line="240" w:lineRule="auto"/>
              <w:jc w:val="both"/>
              <w:rPr>
                <w:rFonts w:ascii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Aims</w:t>
            </w:r>
          </w:p>
          <w:p w:rsidR="00657822" w:rsidRPr="002920CF" w:rsidRDefault="00657822" w:rsidP="000A0CFA">
            <w:pPr>
              <w:pStyle w:val="PlainText"/>
              <w:rPr>
                <w:rFonts w:asciiTheme="minorHAnsi" w:hAnsiTheme="minorHAnsi" w:cstheme="minorHAnsi"/>
                <w:b/>
                <w:sz w:val="20"/>
                <w:szCs w:val="20"/>
              </w:rPr>
            </w:pPr>
          </w:p>
          <w:p w:rsidR="00657822" w:rsidRPr="002920CF" w:rsidRDefault="00657822" w:rsidP="000A0CFA">
            <w:pPr>
              <w:pStyle w:val="PlainText"/>
              <w:rPr>
                <w:rFonts w:asciiTheme="minorHAnsi" w:hAnsiTheme="minorHAnsi" w:cstheme="minorHAnsi"/>
                <w:b/>
                <w:sz w:val="20"/>
                <w:szCs w:val="20"/>
              </w:rPr>
            </w:pPr>
          </w:p>
          <w:p w:rsidR="00657822" w:rsidRPr="002920CF" w:rsidRDefault="00657822" w:rsidP="000A0CFA">
            <w:pPr>
              <w:pStyle w:val="PlainText"/>
              <w:rPr>
                <w:rFonts w:asciiTheme="minorHAnsi" w:hAnsiTheme="minorHAnsi" w:cstheme="minorHAnsi"/>
                <w:b/>
                <w:sz w:val="20"/>
                <w:szCs w:val="20"/>
              </w:rPr>
            </w:pPr>
          </w:p>
        </w:tc>
        <w:tc>
          <w:tcPr>
            <w:tcW w:w="7087" w:type="dxa"/>
          </w:tcPr>
          <w:p w:rsidR="00657822" w:rsidRPr="002920CF" w:rsidRDefault="00657822" w:rsidP="000A0CFA">
            <w:p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The aims of the unit are to:</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Enable students to understand the principles and methodology of materials selection and manufacturing process selection.</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Provide an understanding of how materials technologies can be designed and controlled to meet the requirements of high-performance products, improve material performance and limit the environmental impact of engineering products</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 xml:space="preserve">Encourage students to develop creative skills by considering new materials in engineering applications </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Provide an understanding of the theories of elasticity and plasticity.</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Use finite element analysis in the solution of engineering problems.</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Examine the principles and applications of fracture mechanics.</w:t>
            </w:r>
          </w:p>
          <w:p w:rsidR="00657822" w:rsidRPr="002920CF"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Provide students with the concepts, methods and applications of contemporary manufacturing systems and integrated manufacturing and its related aspects</w:t>
            </w:r>
          </w:p>
          <w:p w:rsidR="00657822" w:rsidRDefault="00657822" w:rsidP="00657822">
            <w:pPr>
              <w:pStyle w:val="ListParagraph"/>
              <w:numPr>
                <w:ilvl w:val="0"/>
                <w:numId w:val="1"/>
              </w:numPr>
              <w:autoSpaceDE w:val="0"/>
              <w:autoSpaceDN w:val="0"/>
              <w:adjustRightInd w:val="0"/>
              <w:spacing w:after="0" w:line="240" w:lineRule="auto"/>
              <w:jc w:val="both"/>
              <w:rPr>
                <w:rFonts w:asciiTheme="minorHAnsi" w:hAnsiTheme="minorHAnsi" w:cstheme="minorHAnsi"/>
                <w:sz w:val="20"/>
                <w:szCs w:val="20"/>
              </w:rPr>
            </w:pPr>
            <w:r w:rsidRPr="002920CF">
              <w:rPr>
                <w:rFonts w:asciiTheme="minorHAnsi" w:hAnsiTheme="minorHAnsi" w:cstheme="minorHAnsi"/>
                <w:sz w:val="20"/>
                <w:szCs w:val="20"/>
              </w:rPr>
              <w:t>Equip the students with the knowledge of techniques for the management of manufacturing systems.</w:t>
            </w:r>
          </w:p>
          <w:p w:rsidR="002920CF" w:rsidRPr="002920CF" w:rsidRDefault="002920CF" w:rsidP="002920CF">
            <w:pPr>
              <w:pStyle w:val="ListParagraph"/>
              <w:autoSpaceDE w:val="0"/>
              <w:autoSpaceDN w:val="0"/>
              <w:adjustRightInd w:val="0"/>
              <w:spacing w:after="0" w:line="240" w:lineRule="auto"/>
              <w:ind w:left="405"/>
              <w:jc w:val="both"/>
              <w:rPr>
                <w:rFonts w:ascii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Learning Outcomes</w:t>
            </w:r>
          </w:p>
        </w:tc>
        <w:tc>
          <w:tcPr>
            <w:tcW w:w="708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Knowledge and Understanding</w:t>
            </w:r>
          </w:p>
          <w:p w:rsidR="00657822" w:rsidRPr="002920CF" w:rsidRDefault="00657822" w:rsidP="000A0CFA">
            <w:pPr>
              <w:autoSpaceDE w:val="0"/>
              <w:autoSpaceDN w:val="0"/>
              <w:adjustRightInd w:val="0"/>
              <w:spacing w:after="0" w:line="240" w:lineRule="auto"/>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The expected learning outcomes are that the student should be able to:</w:t>
            </w:r>
          </w:p>
          <w:p w:rsidR="00657822" w:rsidRPr="002920CF" w:rsidRDefault="00657822" w:rsidP="00657822">
            <w:pPr>
              <w:pStyle w:val="ListParagraph"/>
              <w:numPr>
                <w:ilvl w:val="0"/>
                <w:numId w:val="3"/>
              </w:numPr>
              <w:autoSpaceDE w:val="0"/>
              <w:autoSpaceDN w:val="0"/>
              <w:adjustRightInd w:val="0"/>
              <w:spacing w:after="0" w:line="240" w:lineRule="auto"/>
              <w:ind w:left="459" w:hanging="426"/>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Understand the principles and methodology of materials and process selection</w:t>
            </w:r>
          </w:p>
          <w:p w:rsidR="00657822" w:rsidRPr="002920CF" w:rsidRDefault="00657822" w:rsidP="00657822">
            <w:pPr>
              <w:pStyle w:val="ListParagraph"/>
              <w:numPr>
                <w:ilvl w:val="0"/>
                <w:numId w:val="3"/>
              </w:numPr>
              <w:autoSpaceDE w:val="0"/>
              <w:autoSpaceDN w:val="0"/>
              <w:adjustRightInd w:val="0"/>
              <w:spacing w:after="0" w:line="240" w:lineRule="auto"/>
              <w:ind w:left="459" w:hanging="426"/>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Understand the behaviour and control of high-performance materials</w:t>
            </w:r>
          </w:p>
          <w:p w:rsidR="00657822" w:rsidRPr="002920CF" w:rsidRDefault="00657822" w:rsidP="00657822">
            <w:pPr>
              <w:pStyle w:val="ListParagraph"/>
              <w:numPr>
                <w:ilvl w:val="0"/>
                <w:numId w:val="3"/>
              </w:numPr>
              <w:autoSpaceDE w:val="0"/>
              <w:autoSpaceDN w:val="0"/>
              <w:adjustRightInd w:val="0"/>
              <w:spacing w:after="0" w:line="240" w:lineRule="auto"/>
              <w:ind w:left="459" w:hanging="426"/>
              <w:jc w:val="both"/>
              <w:rPr>
                <w:rFonts w:asciiTheme="minorHAnsi" w:hAnsiTheme="minorHAnsi" w:cstheme="minorHAnsi"/>
                <w:color w:val="000000"/>
                <w:sz w:val="20"/>
                <w:szCs w:val="20"/>
              </w:rPr>
            </w:pPr>
            <w:r w:rsidRPr="002920CF">
              <w:rPr>
                <w:rFonts w:asciiTheme="minorHAnsi" w:hAnsiTheme="minorHAnsi" w:cstheme="minorHAnsi"/>
                <w:sz w:val="20"/>
                <w:szCs w:val="20"/>
              </w:rPr>
              <w:t>Explain the role manufacturing systems in the product realisation process and its application in modern manufacturing and CIM systems</w:t>
            </w:r>
          </w:p>
          <w:p w:rsidR="00657822" w:rsidRPr="002920CF" w:rsidRDefault="00657822" w:rsidP="00657822">
            <w:pPr>
              <w:pStyle w:val="ListParagraph"/>
              <w:numPr>
                <w:ilvl w:val="0"/>
                <w:numId w:val="3"/>
              </w:numPr>
              <w:autoSpaceDE w:val="0"/>
              <w:autoSpaceDN w:val="0"/>
              <w:adjustRightInd w:val="0"/>
              <w:spacing w:after="120" w:line="240" w:lineRule="auto"/>
              <w:ind w:left="459" w:hanging="426"/>
              <w:jc w:val="both"/>
              <w:rPr>
                <w:rFonts w:asciiTheme="minorHAnsi" w:hAnsiTheme="minorHAnsi" w:cstheme="minorHAnsi"/>
                <w:sz w:val="20"/>
                <w:szCs w:val="20"/>
              </w:rPr>
            </w:pPr>
            <w:r w:rsidRPr="002920CF">
              <w:rPr>
                <w:rFonts w:asciiTheme="minorHAnsi" w:hAnsiTheme="minorHAnsi" w:cstheme="minorHAnsi"/>
                <w:sz w:val="20"/>
                <w:szCs w:val="20"/>
              </w:rPr>
              <w:t xml:space="preserve">Define concepts and applications of manufacturing planning, material handling </w:t>
            </w:r>
            <w:r w:rsidRPr="002920CF">
              <w:rPr>
                <w:rFonts w:asciiTheme="minorHAnsi" w:hAnsiTheme="minorHAnsi" w:cstheme="minorHAnsi"/>
                <w:sz w:val="20"/>
                <w:szCs w:val="20"/>
              </w:rPr>
              <w:lastRenderedPageBreak/>
              <w:t xml:space="preserve">systems and industrial robots </w:t>
            </w:r>
          </w:p>
          <w:p w:rsidR="00657822" w:rsidRPr="002920CF" w:rsidRDefault="00657822" w:rsidP="00657822">
            <w:pPr>
              <w:pStyle w:val="ListParagraph"/>
              <w:numPr>
                <w:ilvl w:val="0"/>
                <w:numId w:val="3"/>
              </w:numPr>
              <w:autoSpaceDE w:val="0"/>
              <w:autoSpaceDN w:val="0"/>
              <w:adjustRightInd w:val="0"/>
              <w:spacing w:after="120" w:line="240" w:lineRule="auto"/>
              <w:ind w:left="459" w:hanging="426"/>
              <w:rPr>
                <w:rFonts w:asciiTheme="minorHAnsi" w:hAnsiTheme="minorHAnsi" w:cstheme="minorHAnsi"/>
                <w:sz w:val="20"/>
                <w:szCs w:val="20"/>
              </w:rPr>
            </w:pPr>
            <w:r w:rsidRPr="002920CF">
              <w:rPr>
                <w:rFonts w:asciiTheme="minorHAnsi" w:hAnsiTheme="minorHAnsi" w:cstheme="minorHAnsi"/>
                <w:sz w:val="20"/>
                <w:szCs w:val="20"/>
              </w:rPr>
              <w:t>Have an awareness of trends and application of quality control and computer aided inspection techniques</w:t>
            </w:r>
          </w:p>
          <w:p w:rsidR="00657822" w:rsidRPr="002920CF" w:rsidRDefault="00657822" w:rsidP="00657822">
            <w:pPr>
              <w:pStyle w:val="ListParagraph"/>
              <w:numPr>
                <w:ilvl w:val="0"/>
                <w:numId w:val="3"/>
              </w:numPr>
              <w:autoSpaceDE w:val="0"/>
              <w:autoSpaceDN w:val="0"/>
              <w:adjustRightInd w:val="0"/>
              <w:spacing w:after="120" w:line="240" w:lineRule="auto"/>
              <w:ind w:left="459" w:hanging="426"/>
              <w:rPr>
                <w:rFonts w:asciiTheme="minorHAnsi" w:hAnsiTheme="minorHAnsi" w:cstheme="minorHAnsi"/>
                <w:sz w:val="20"/>
                <w:szCs w:val="20"/>
              </w:rPr>
            </w:pPr>
            <w:r w:rsidRPr="002920CF">
              <w:rPr>
                <w:rFonts w:asciiTheme="minorHAnsi" w:hAnsiTheme="minorHAnsi" w:cstheme="minorHAnsi"/>
                <w:sz w:val="20"/>
                <w:szCs w:val="20"/>
              </w:rPr>
              <w:t>Apply concepts and techniques of operations management</w:t>
            </w:r>
          </w:p>
          <w:p w:rsidR="00657822" w:rsidRPr="002920CF" w:rsidRDefault="00657822" w:rsidP="000A0CFA">
            <w:pPr>
              <w:autoSpaceDE w:val="0"/>
              <w:autoSpaceDN w:val="0"/>
              <w:adjustRightInd w:val="0"/>
              <w:spacing w:after="120" w:line="240" w:lineRule="auto"/>
              <w:rPr>
                <w:rFonts w:asciiTheme="minorHAnsi" w:hAnsiTheme="minorHAnsi" w:cstheme="minorHAnsi"/>
                <w:sz w:val="20"/>
                <w:szCs w:val="20"/>
              </w:rPr>
            </w:pPr>
            <w:r w:rsidRPr="002920CF">
              <w:rPr>
                <w:rFonts w:asciiTheme="minorHAnsi" w:hAnsiTheme="minorHAnsi" w:cstheme="minorHAnsi"/>
                <w:sz w:val="20"/>
                <w:szCs w:val="20"/>
              </w:rPr>
              <w:t xml:space="preserve">Transferable Skills : </w:t>
            </w:r>
          </w:p>
          <w:p w:rsidR="00657822" w:rsidRPr="002920CF" w:rsidRDefault="00657822" w:rsidP="000A0CFA">
            <w:pPr>
              <w:autoSpaceDE w:val="0"/>
              <w:autoSpaceDN w:val="0"/>
              <w:adjustRightInd w:val="0"/>
              <w:spacing w:after="120" w:line="240" w:lineRule="auto"/>
              <w:rPr>
                <w:rFonts w:asciiTheme="minorHAnsi" w:hAnsiTheme="minorHAnsi" w:cstheme="minorHAnsi"/>
                <w:sz w:val="20"/>
                <w:szCs w:val="20"/>
              </w:rPr>
            </w:pPr>
            <w:r w:rsidRPr="002920CF">
              <w:rPr>
                <w:rFonts w:asciiTheme="minorHAnsi" w:hAnsiTheme="minorHAnsi" w:cstheme="minorHAnsi"/>
                <w:sz w:val="20"/>
                <w:szCs w:val="20"/>
              </w:rPr>
              <w:t>The unit provides the opportunity to develop the following key and cognitive skills:</w:t>
            </w:r>
          </w:p>
          <w:p w:rsidR="00657822" w:rsidRPr="002920CF" w:rsidRDefault="00657822" w:rsidP="00657822">
            <w:pPr>
              <w:pStyle w:val="ListParagraph"/>
              <w:numPr>
                <w:ilvl w:val="0"/>
                <w:numId w:val="2"/>
              </w:numPr>
              <w:autoSpaceDE w:val="0"/>
              <w:autoSpaceDN w:val="0"/>
              <w:adjustRightInd w:val="0"/>
              <w:spacing w:after="0" w:line="240" w:lineRule="auto"/>
              <w:jc w:val="both"/>
              <w:rPr>
                <w:rFonts w:asciiTheme="minorHAnsi" w:eastAsiaTheme="minorHAnsi" w:hAnsiTheme="minorHAnsi" w:cstheme="minorHAnsi"/>
                <w:sz w:val="20"/>
                <w:szCs w:val="20"/>
                <w:lang w:eastAsia="en-US"/>
              </w:rPr>
            </w:pPr>
            <w:r w:rsidRPr="002920CF">
              <w:rPr>
                <w:rFonts w:asciiTheme="minorHAnsi" w:eastAsiaTheme="minorHAnsi" w:hAnsiTheme="minorHAnsi" w:cstheme="minorHAnsi"/>
                <w:sz w:val="20"/>
                <w:szCs w:val="20"/>
                <w:lang w:eastAsia="en-US"/>
              </w:rPr>
              <w:t>learning how to learn by exploring a variety of learning</w:t>
            </w:r>
          </w:p>
          <w:p w:rsidR="00657822" w:rsidRPr="002920CF" w:rsidRDefault="00657822" w:rsidP="000A0CFA">
            <w:pPr>
              <w:autoSpaceDE w:val="0"/>
              <w:autoSpaceDN w:val="0"/>
              <w:adjustRightInd w:val="0"/>
              <w:spacing w:after="120" w:line="240" w:lineRule="auto"/>
              <w:rPr>
                <w:rFonts w:asciiTheme="minorHAnsi" w:hAnsiTheme="minorHAnsi" w:cstheme="minorHAnsi"/>
                <w:sz w:val="20"/>
                <w:szCs w:val="20"/>
              </w:rPr>
            </w:pPr>
            <w:r w:rsidRPr="002920CF">
              <w:rPr>
                <w:rFonts w:asciiTheme="minorHAnsi" w:hAnsiTheme="minorHAnsi" w:cstheme="minorHAnsi"/>
                <w:sz w:val="20"/>
                <w:szCs w:val="20"/>
              </w:rPr>
              <w:t>styles and methods during both class sessions and in self-</w:t>
            </w:r>
          </w:p>
          <w:p w:rsidR="00657822" w:rsidRPr="002920CF" w:rsidRDefault="00657822" w:rsidP="000A0CFA">
            <w:pPr>
              <w:autoSpaceDE w:val="0"/>
              <w:autoSpaceDN w:val="0"/>
              <w:adjustRightInd w:val="0"/>
              <w:spacing w:after="120" w:line="240" w:lineRule="auto"/>
              <w:rPr>
                <w:rFonts w:asciiTheme="minorHAnsi" w:hAnsiTheme="minorHAnsi" w:cstheme="minorHAnsi"/>
                <w:sz w:val="20"/>
                <w:szCs w:val="20"/>
              </w:rPr>
            </w:pPr>
            <w:r w:rsidRPr="002920CF">
              <w:rPr>
                <w:rFonts w:asciiTheme="minorHAnsi" w:hAnsiTheme="minorHAnsi" w:cstheme="minorHAnsi"/>
                <w:sz w:val="20"/>
                <w:szCs w:val="20"/>
              </w:rPr>
              <w:t>managed study activities;</w:t>
            </w:r>
          </w:p>
          <w:p w:rsidR="00657822" w:rsidRPr="002920CF" w:rsidRDefault="00657822" w:rsidP="000A0CFA">
            <w:pPr>
              <w:autoSpaceDE w:val="0"/>
              <w:autoSpaceDN w:val="0"/>
              <w:adjustRightInd w:val="0"/>
              <w:spacing w:after="120" w:line="240" w:lineRule="auto"/>
              <w:rPr>
                <w:rFonts w:asciiTheme="minorHAnsi" w:hAnsiTheme="minorHAnsi" w:cstheme="minorHAnsi"/>
                <w:sz w:val="20"/>
                <w:szCs w:val="20"/>
              </w:rPr>
            </w:pPr>
            <w:r w:rsidRPr="002920CF">
              <w:rPr>
                <w:rFonts w:asciiTheme="minorHAnsi" w:hAnsiTheme="minorHAnsi" w:cstheme="minorHAnsi"/>
                <w:sz w:val="20"/>
                <w:szCs w:val="20"/>
              </w:rPr>
              <w:t>- interpretation and analysis of engineering data;</w:t>
            </w:r>
          </w:p>
          <w:p w:rsidR="00657822" w:rsidRPr="002920CF" w:rsidRDefault="00657822" w:rsidP="000A0CFA">
            <w:pPr>
              <w:autoSpaceDE w:val="0"/>
              <w:autoSpaceDN w:val="0"/>
              <w:adjustRightInd w:val="0"/>
              <w:spacing w:after="0" w:line="240" w:lineRule="auto"/>
              <w:ind w:left="33"/>
              <w:jc w:val="both"/>
              <w:rPr>
                <w:rFonts w:asciiTheme="minorHAnsi" w:hAnsiTheme="minorHAnsi" w:cstheme="minorHAnsi"/>
                <w:color w:val="000000"/>
                <w:sz w:val="20"/>
                <w:szCs w:val="20"/>
              </w:rPr>
            </w:pPr>
            <w:r w:rsidRPr="002920CF">
              <w:rPr>
                <w:rFonts w:asciiTheme="minorHAnsi" w:hAnsiTheme="minorHAnsi" w:cstheme="minorHAnsi"/>
                <w:sz w:val="20"/>
                <w:szCs w:val="20"/>
              </w:rPr>
              <w:t>- develop operations management skills</w:t>
            </w:r>
          </w:p>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Practical Skills</w:t>
            </w:r>
          </w:p>
          <w:p w:rsidR="00657822" w:rsidRPr="002920CF" w:rsidRDefault="00657822" w:rsidP="00657822">
            <w:pPr>
              <w:pStyle w:val="ListParagraph"/>
              <w:numPr>
                <w:ilvl w:val="0"/>
                <w:numId w:val="5"/>
              </w:numPr>
              <w:autoSpaceDE w:val="0"/>
              <w:autoSpaceDN w:val="0"/>
              <w:adjustRightInd w:val="0"/>
              <w:spacing w:after="0" w:line="240" w:lineRule="auto"/>
              <w:ind w:left="317" w:hanging="284"/>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 xml:space="preserve">Apply elasticity and plasticity theory, and fracture toughness data to practical problems </w:t>
            </w:r>
          </w:p>
          <w:p w:rsidR="00657822" w:rsidRPr="002920CF" w:rsidRDefault="00657822" w:rsidP="00657822">
            <w:pPr>
              <w:pStyle w:val="ListParagraph"/>
              <w:numPr>
                <w:ilvl w:val="0"/>
                <w:numId w:val="5"/>
              </w:numPr>
              <w:autoSpaceDE w:val="0"/>
              <w:autoSpaceDN w:val="0"/>
              <w:adjustRightInd w:val="0"/>
              <w:spacing w:after="0" w:line="240" w:lineRule="auto"/>
              <w:ind w:left="317" w:hanging="284"/>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 xml:space="preserve">Solve problems using finite elements </w:t>
            </w:r>
          </w:p>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Transferable Skills</w:t>
            </w:r>
          </w:p>
          <w:p w:rsidR="00657822" w:rsidRPr="002920CF" w:rsidRDefault="00657822" w:rsidP="00657822">
            <w:pPr>
              <w:pStyle w:val="ListParagraph"/>
              <w:numPr>
                <w:ilvl w:val="0"/>
                <w:numId w:val="4"/>
              </w:numPr>
              <w:autoSpaceDE w:val="0"/>
              <w:autoSpaceDN w:val="0"/>
              <w:adjustRightInd w:val="0"/>
              <w:spacing w:after="0" w:line="240" w:lineRule="auto"/>
              <w:ind w:left="317" w:hanging="284"/>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Development of numerical and analytical skills to solve problems.</w:t>
            </w:r>
          </w:p>
          <w:p w:rsidR="00657822" w:rsidRPr="002920CF" w:rsidRDefault="00657822" w:rsidP="00657822">
            <w:pPr>
              <w:pStyle w:val="ListParagraph"/>
              <w:numPr>
                <w:ilvl w:val="0"/>
                <w:numId w:val="4"/>
              </w:numPr>
              <w:autoSpaceDE w:val="0"/>
              <w:autoSpaceDN w:val="0"/>
              <w:adjustRightInd w:val="0"/>
              <w:spacing w:after="0" w:line="240" w:lineRule="auto"/>
              <w:ind w:left="317" w:hanging="284"/>
              <w:jc w:val="both"/>
              <w:rPr>
                <w:rFonts w:asciiTheme="minorHAnsi" w:hAnsiTheme="minorHAnsi" w:cstheme="minorHAnsi"/>
                <w:color w:val="000000"/>
                <w:sz w:val="20"/>
                <w:szCs w:val="20"/>
              </w:rPr>
            </w:pPr>
            <w:r w:rsidRPr="002920CF">
              <w:rPr>
                <w:rFonts w:asciiTheme="minorHAnsi" w:hAnsiTheme="minorHAnsi" w:cstheme="minorHAnsi"/>
                <w:color w:val="000000"/>
                <w:sz w:val="20"/>
                <w:szCs w:val="20"/>
              </w:rPr>
              <w:t>Development of computing and quantitative skills for the analysis and presentation of complex data.</w:t>
            </w:r>
          </w:p>
          <w:p w:rsidR="00657822" w:rsidRPr="002920CF" w:rsidRDefault="00657822" w:rsidP="00657822">
            <w:pPr>
              <w:pStyle w:val="ListParagraph"/>
              <w:numPr>
                <w:ilvl w:val="0"/>
                <w:numId w:val="4"/>
              </w:numPr>
              <w:autoSpaceDE w:val="0"/>
              <w:autoSpaceDN w:val="0"/>
              <w:adjustRightInd w:val="0"/>
              <w:spacing w:after="120" w:line="240" w:lineRule="auto"/>
              <w:ind w:left="317" w:hanging="284"/>
              <w:rPr>
                <w:rFonts w:asciiTheme="minorHAnsi" w:hAnsiTheme="minorHAnsi" w:cstheme="minorHAnsi"/>
                <w:sz w:val="20"/>
                <w:szCs w:val="20"/>
              </w:rPr>
            </w:pPr>
            <w:r w:rsidRPr="002920CF">
              <w:rPr>
                <w:rFonts w:asciiTheme="minorHAnsi" w:hAnsiTheme="minorHAnsi" w:cstheme="minorHAnsi"/>
                <w:color w:val="000000"/>
                <w:sz w:val="20"/>
                <w:szCs w:val="20"/>
              </w:rPr>
              <w:t>Development of creative skills and innovation in engineering</w:t>
            </w:r>
            <w:r w:rsidRPr="002920CF">
              <w:rPr>
                <w:rFonts w:asciiTheme="minorHAnsi" w:hAnsiTheme="minorHAnsi" w:cstheme="minorHAnsi"/>
                <w:sz w:val="20"/>
                <w:szCs w:val="20"/>
              </w:rPr>
              <w:t xml:space="preserve"> </w:t>
            </w:r>
          </w:p>
          <w:p w:rsidR="00657822" w:rsidRDefault="00657822" w:rsidP="00657822">
            <w:pPr>
              <w:pStyle w:val="ListParagraph"/>
              <w:numPr>
                <w:ilvl w:val="0"/>
                <w:numId w:val="4"/>
              </w:numPr>
              <w:autoSpaceDE w:val="0"/>
              <w:autoSpaceDN w:val="0"/>
              <w:adjustRightInd w:val="0"/>
              <w:spacing w:after="0" w:line="240" w:lineRule="auto"/>
              <w:ind w:left="317" w:hanging="284"/>
              <w:jc w:val="both"/>
              <w:rPr>
                <w:rFonts w:asciiTheme="minorHAnsi" w:eastAsiaTheme="minorHAnsi" w:hAnsiTheme="minorHAnsi" w:cstheme="minorHAnsi"/>
                <w:sz w:val="20"/>
                <w:szCs w:val="20"/>
              </w:rPr>
            </w:pPr>
            <w:r w:rsidRPr="002920CF">
              <w:rPr>
                <w:rFonts w:asciiTheme="minorHAnsi" w:eastAsiaTheme="minorHAnsi" w:hAnsiTheme="minorHAnsi" w:cstheme="minorHAnsi"/>
                <w:sz w:val="20"/>
                <w:szCs w:val="20"/>
              </w:rPr>
              <w:t>Communication and presentation skills</w:t>
            </w:r>
          </w:p>
          <w:p w:rsidR="002920CF" w:rsidRPr="002920CF" w:rsidRDefault="002920CF" w:rsidP="002920CF">
            <w:pPr>
              <w:pStyle w:val="ListParagraph"/>
              <w:autoSpaceDE w:val="0"/>
              <w:autoSpaceDN w:val="0"/>
              <w:adjustRightInd w:val="0"/>
              <w:spacing w:after="0" w:line="240" w:lineRule="auto"/>
              <w:ind w:left="317"/>
              <w:jc w:val="both"/>
              <w:rPr>
                <w:rFonts w:asciiTheme="minorHAnsi" w:eastAsia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lastRenderedPageBreak/>
              <w:t>Employability</w:t>
            </w:r>
          </w:p>
        </w:tc>
        <w:tc>
          <w:tcPr>
            <w:tcW w:w="7087" w:type="dxa"/>
          </w:tcPr>
          <w:p w:rsidR="00657822" w:rsidRPr="002920CF" w:rsidRDefault="00657822" w:rsidP="000A0CFA">
            <w:pPr>
              <w:pStyle w:val="PlainText"/>
              <w:rPr>
                <w:rFonts w:ascii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Teaching and learning pattern</w:t>
            </w:r>
          </w:p>
        </w:tc>
        <w:tc>
          <w:tcPr>
            <w:tcW w:w="7087" w:type="dxa"/>
          </w:tcPr>
          <w:p w:rsidR="00657822" w:rsidRDefault="00657822" w:rsidP="000A0CFA">
            <w:pPr>
              <w:autoSpaceDE w:val="0"/>
              <w:autoSpaceDN w:val="0"/>
              <w:adjustRightInd w:val="0"/>
              <w:spacing w:after="120" w:line="240" w:lineRule="auto"/>
              <w:jc w:val="both"/>
              <w:rPr>
                <w:rFonts w:asciiTheme="minorHAnsi" w:hAnsiTheme="minorHAnsi" w:cstheme="minorHAnsi"/>
                <w:sz w:val="20"/>
                <w:szCs w:val="20"/>
              </w:rPr>
            </w:pPr>
            <w:r w:rsidRPr="002920CF">
              <w:rPr>
                <w:rFonts w:asciiTheme="minorHAnsi" w:hAnsiTheme="minorHAnsi" w:cstheme="minorHAnsi"/>
                <w:sz w:val="20"/>
                <w:szCs w:val="20"/>
              </w:rPr>
              <w:t xml:space="preserve">Formal lectures, tutorials, seminars and demonstrations supported by handouts tutorial sheets and a dedicated module site on Blackboard for additional materials. Audio visual aids, case studies, group discussion seminars and the use of computer software, hardware and laboratory experiments /demonstrations. </w:t>
            </w:r>
          </w:p>
          <w:p w:rsidR="002920CF" w:rsidRPr="002920CF" w:rsidRDefault="002920CF" w:rsidP="000A0CFA">
            <w:pPr>
              <w:autoSpaceDE w:val="0"/>
              <w:autoSpaceDN w:val="0"/>
              <w:adjustRightInd w:val="0"/>
              <w:spacing w:after="120" w:line="240" w:lineRule="auto"/>
              <w:jc w:val="both"/>
              <w:rPr>
                <w:rFonts w:asciiTheme="minorHAnsi" w:hAnsiTheme="minorHAnsi" w:cstheme="minorHAnsi"/>
                <w:sz w:val="20"/>
                <w:szCs w:val="20"/>
              </w:rPr>
            </w:pPr>
          </w:p>
        </w:tc>
      </w:tr>
      <w:tr w:rsidR="00657822" w:rsidRPr="00877B6F" w:rsidTr="000A0CFA">
        <w:tc>
          <w:tcPr>
            <w:tcW w:w="2127" w:type="dxa"/>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Indicative content</w:t>
            </w:r>
          </w:p>
        </w:tc>
        <w:tc>
          <w:tcPr>
            <w:tcW w:w="7087" w:type="dxa"/>
          </w:tcPr>
          <w:p w:rsidR="00657822" w:rsidRPr="002920CF" w:rsidRDefault="00657822" w:rsidP="002920CF">
            <w:pPr>
              <w:pStyle w:val="ListParagraph"/>
              <w:autoSpaceDE w:val="0"/>
              <w:autoSpaceDN w:val="0"/>
              <w:adjustRightInd w:val="0"/>
              <w:spacing w:afterLines="60" w:line="240" w:lineRule="auto"/>
              <w:ind w:left="33"/>
              <w:contextualSpacing w:val="0"/>
              <w:jc w:val="both"/>
              <w:rPr>
                <w:rFonts w:asciiTheme="minorHAnsi" w:hAnsiTheme="minorHAnsi" w:cstheme="minorHAnsi"/>
                <w:sz w:val="20"/>
                <w:szCs w:val="20"/>
                <w:u w:val="single"/>
              </w:rPr>
            </w:pPr>
            <w:r w:rsidRPr="002920CF">
              <w:rPr>
                <w:rFonts w:asciiTheme="minorHAnsi" w:hAnsiTheme="minorHAnsi" w:cstheme="minorHAnsi"/>
                <w:sz w:val="20"/>
                <w:szCs w:val="20"/>
                <w:u w:val="single"/>
              </w:rPr>
              <w:t>Materials Properties</w:t>
            </w:r>
          </w:p>
          <w:p w:rsidR="00657822" w:rsidRPr="002920CF" w:rsidRDefault="00657822" w:rsidP="002920CF">
            <w:pPr>
              <w:pStyle w:val="ListParagraph"/>
              <w:numPr>
                <w:ilvl w:val="0"/>
                <w:numId w:val="2"/>
              </w:numPr>
              <w:autoSpaceDE w:val="0"/>
              <w:autoSpaceDN w:val="0"/>
              <w:adjustRightInd w:val="0"/>
              <w:spacing w:afterLines="60" w:line="240" w:lineRule="auto"/>
              <w:contextualSpacing w:val="0"/>
              <w:jc w:val="both"/>
              <w:rPr>
                <w:rFonts w:asciiTheme="minorHAnsi" w:hAnsiTheme="minorHAnsi" w:cstheme="minorHAnsi"/>
                <w:sz w:val="20"/>
                <w:szCs w:val="20"/>
              </w:rPr>
            </w:pPr>
            <w:r w:rsidRPr="002920CF">
              <w:rPr>
                <w:rFonts w:asciiTheme="minorHAnsi" w:hAnsiTheme="minorHAnsi" w:cstheme="minorHAnsi"/>
                <w:sz w:val="20"/>
                <w:szCs w:val="20"/>
              </w:rPr>
              <w:t xml:space="preserve">Elasticity theory, constitutive equations, finite element analysis. Finite element models and their solution using software packages. Plasticity theory, stress-strain relationships, applications. </w:t>
            </w:r>
          </w:p>
          <w:p w:rsidR="00657822" w:rsidRPr="002920CF" w:rsidRDefault="00657822" w:rsidP="002920CF">
            <w:pPr>
              <w:autoSpaceDE w:val="0"/>
              <w:autoSpaceDN w:val="0"/>
              <w:adjustRightInd w:val="0"/>
              <w:spacing w:afterLines="60" w:line="240" w:lineRule="auto"/>
              <w:ind w:left="45"/>
              <w:jc w:val="both"/>
              <w:rPr>
                <w:rFonts w:asciiTheme="minorHAnsi" w:hAnsiTheme="minorHAnsi" w:cstheme="minorHAnsi"/>
                <w:sz w:val="20"/>
                <w:szCs w:val="20"/>
                <w:u w:val="single"/>
              </w:rPr>
            </w:pPr>
            <w:r w:rsidRPr="002920CF">
              <w:rPr>
                <w:rFonts w:asciiTheme="minorHAnsi" w:hAnsiTheme="minorHAnsi" w:cstheme="minorHAnsi"/>
                <w:sz w:val="20"/>
                <w:szCs w:val="20"/>
                <w:u w:val="single"/>
              </w:rPr>
              <w:t>Materials Behaviour</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 xml:space="preserve">Fracture mechanics, energy balance, stress intensity factors, fracture toughness testing and applications. Mechanisms and control of </w:t>
            </w:r>
            <w:proofErr w:type="gramStart"/>
            <w:r w:rsidRPr="002920CF">
              <w:rPr>
                <w:rFonts w:asciiTheme="minorHAnsi" w:hAnsiTheme="minorHAnsi" w:cstheme="minorHAnsi"/>
                <w:sz w:val="20"/>
                <w:szCs w:val="20"/>
              </w:rPr>
              <w:t>fatigue,</w:t>
            </w:r>
            <w:proofErr w:type="gramEnd"/>
            <w:r w:rsidRPr="002920CF">
              <w:rPr>
                <w:rFonts w:asciiTheme="minorHAnsi" w:hAnsiTheme="minorHAnsi" w:cstheme="minorHAnsi"/>
                <w:sz w:val="20"/>
                <w:szCs w:val="20"/>
              </w:rPr>
              <w:t xml:space="preserve"> creep and surface degradation in engineering materials.</w:t>
            </w:r>
          </w:p>
          <w:p w:rsidR="00657822" w:rsidRPr="002920CF" w:rsidRDefault="00657822" w:rsidP="002920CF">
            <w:pPr>
              <w:autoSpaceDE w:val="0"/>
              <w:autoSpaceDN w:val="0"/>
              <w:adjustRightInd w:val="0"/>
              <w:spacing w:afterLines="60" w:line="240" w:lineRule="auto"/>
              <w:ind w:left="45"/>
              <w:jc w:val="both"/>
              <w:rPr>
                <w:rFonts w:asciiTheme="minorHAnsi" w:hAnsiTheme="minorHAnsi" w:cstheme="minorHAnsi"/>
                <w:sz w:val="20"/>
                <w:szCs w:val="20"/>
              </w:rPr>
            </w:pPr>
            <w:r w:rsidRPr="002920CF">
              <w:rPr>
                <w:rFonts w:asciiTheme="minorHAnsi" w:hAnsiTheme="minorHAnsi" w:cstheme="minorHAnsi"/>
                <w:sz w:val="20"/>
                <w:szCs w:val="20"/>
                <w:u w:val="single"/>
              </w:rPr>
              <w:t>Materials  and Process Selection</w:t>
            </w:r>
            <w:r w:rsidRPr="002920CF">
              <w:rPr>
                <w:rFonts w:asciiTheme="minorHAnsi" w:hAnsiTheme="minorHAnsi" w:cstheme="minorHAnsi"/>
                <w:sz w:val="20"/>
                <w:szCs w:val="20"/>
              </w:rPr>
              <w:t xml:space="preserve"> </w:t>
            </w:r>
          </w:p>
          <w:p w:rsidR="00657822" w:rsidRPr="002920CF" w:rsidRDefault="00657822" w:rsidP="002920CF">
            <w:pPr>
              <w:autoSpaceDE w:val="0"/>
              <w:autoSpaceDN w:val="0"/>
              <w:adjustRightInd w:val="0"/>
              <w:spacing w:afterLines="60" w:line="240" w:lineRule="auto"/>
              <w:ind w:left="45"/>
              <w:jc w:val="both"/>
              <w:rPr>
                <w:rFonts w:asciiTheme="minorHAnsi" w:hAnsiTheme="minorHAnsi" w:cstheme="minorHAnsi"/>
                <w:sz w:val="20"/>
                <w:szCs w:val="20"/>
              </w:rPr>
            </w:pPr>
            <w:r w:rsidRPr="002920CF">
              <w:rPr>
                <w:rFonts w:asciiTheme="minorHAnsi" w:hAnsiTheme="minorHAnsi" w:cstheme="minorHAnsi"/>
                <w:sz w:val="20"/>
                <w:szCs w:val="20"/>
              </w:rPr>
              <w:t>Charts, selection with and without shape. Process selection: methodology, characterisation and process charts. Development of new technologies. Emerging technologies.</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 xml:space="preserve">Manufacturing and operations strategies </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Organisation and information processing in manufacturing system; Contemporary and emerging global trends in manufacturing operation; Sustainable and environmentally friendly manufacturing; Applications of computer-integrated manufacturing models. Standards and protocols in manufacturing systems</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 xml:space="preserve">Manufacturing automation </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 xml:space="preserve">Overview of production and automation strategies. Decision support tools in </w:t>
            </w:r>
            <w:r w:rsidRPr="002920CF">
              <w:rPr>
                <w:rFonts w:asciiTheme="minorHAnsi" w:hAnsiTheme="minorHAnsi" w:cstheme="minorHAnsi"/>
                <w:sz w:val="20"/>
                <w:szCs w:val="20"/>
              </w:rPr>
              <w:lastRenderedPageBreak/>
              <w:t>manufacturing. Research and developments in materials and cutting tool technology.</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 xml:space="preserve">Manufacturing process planning </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Role of computer-aided process in planning an integrated manufacturing system. Generative and automated process planning.</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 xml:space="preserve">Quality control and inspection </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Principles and methods. Contact and non-contact inspection methods. Application of computer-software for automated inspection. Application of CNC-CMM for quality control.</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Material handling storage and retrieval</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Concepts, functions and analysis of modern material handling, storage and retrieval systems. Application of inventory control and materials requirements planning.</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 xml:space="preserve">Robotics applications in manufacturing </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Application of industrial robots in manufacturing and the role of industrial robots in integrated manufacturing. Single-machine robot cell applications. Performance and economic justification of robot applications</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u w:val="single"/>
              </w:rPr>
            </w:pPr>
            <w:r w:rsidRPr="002920CF">
              <w:rPr>
                <w:rFonts w:asciiTheme="minorHAnsi" w:hAnsiTheme="minorHAnsi" w:cstheme="minorHAnsi"/>
                <w:sz w:val="20"/>
                <w:szCs w:val="20"/>
                <w:u w:val="single"/>
              </w:rPr>
              <w:t xml:space="preserve">Operations management </w:t>
            </w:r>
          </w:p>
          <w:p w:rsidR="00657822" w:rsidRPr="002920CF" w:rsidRDefault="00657822" w:rsidP="002920CF">
            <w:pPr>
              <w:autoSpaceDE w:val="0"/>
              <w:autoSpaceDN w:val="0"/>
              <w:adjustRightInd w:val="0"/>
              <w:spacing w:afterLines="60" w:line="240" w:lineRule="auto"/>
              <w:jc w:val="both"/>
              <w:rPr>
                <w:rFonts w:asciiTheme="minorHAnsi" w:hAnsiTheme="minorHAnsi" w:cstheme="minorHAnsi"/>
                <w:sz w:val="20"/>
                <w:szCs w:val="20"/>
              </w:rPr>
            </w:pPr>
            <w:r w:rsidRPr="002920CF">
              <w:rPr>
                <w:rFonts w:asciiTheme="minorHAnsi" w:hAnsiTheme="minorHAnsi" w:cstheme="minorHAnsi"/>
                <w:sz w:val="20"/>
                <w:szCs w:val="20"/>
              </w:rPr>
              <w:t>Overview. Development of operations strategy. Production planning, materials and capacity planning.</w:t>
            </w:r>
          </w:p>
        </w:tc>
      </w:tr>
      <w:tr w:rsidR="00657822" w:rsidRPr="00877B6F" w:rsidTr="000A0CFA">
        <w:tc>
          <w:tcPr>
            <w:tcW w:w="2127" w:type="dxa"/>
            <w:tcBorders>
              <w:bottom w:val="single" w:sz="4" w:space="0" w:color="auto"/>
            </w:tcBorders>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lastRenderedPageBreak/>
              <w:t>Assessment</w:t>
            </w:r>
          </w:p>
          <w:p w:rsidR="00657822" w:rsidRPr="002920CF" w:rsidRDefault="00657822" w:rsidP="000A0CFA">
            <w:pPr>
              <w:pStyle w:val="PlainText"/>
              <w:rPr>
                <w:rFonts w:asciiTheme="minorHAnsi" w:hAnsiTheme="minorHAnsi" w:cstheme="minorHAnsi"/>
                <w:b/>
                <w:i/>
                <w:sz w:val="20"/>
                <w:szCs w:val="20"/>
              </w:rPr>
            </w:pPr>
            <w:r w:rsidRPr="002920CF">
              <w:rPr>
                <w:rFonts w:asciiTheme="minorHAnsi" w:hAnsiTheme="minorHAnsi" w:cstheme="minorHAnsi"/>
                <w:b/>
                <w:i/>
                <w:sz w:val="20"/>
                <w:szCs w:val="20"/>
              </w:rPr>
              <w:t>Elements &amp; weightings</w:t>
            </w:r>
          </w:p>
        </w:tc>
        <w:tc>
          <w:tcPr>
            <w:tcW w:w="7087" w:type="dxa"/>
            <w:tcBorders>
              <w:bottom w:val="single" w:sz="4" w:space="0" w:color="auto"/>
            </w:tcBorders>
          </w:tcPr>
          <w:p w:rsidR="00657822" w:rsidRPr="002920CF" w:rsidRDefault="00657822" w:rsidP="000A0CFA">
            <w:pPr>
              <w:pStyle w:val="MACNormal"/>
              <w:tabs>
                <w:tab w:val="left" w:pos="0"/>
                <w:tab w:val="left" w:pos="720"/>
              </w:tabs>
              <w:spacing w:line="230" w:lineRule="atLeast"/>
              <w:rPr>
                <w:rFonts w:asciiTheme="minorHAnsi" w:hAnsiTheme="minorHAnsi" w:cstheme="minorHAnsi"/>
                <w:sz w:val="20"/>
              </w:rPr>
            </w:pPr>
            <w:r w:rsidRPr="002920CF">
              <w:rPr>
                <w:rFonts w:asciiTheme="minorHAnsi" w:hAnsiTheme="minorHAnsi" w:cstheme="minorHAnsi"/>
                <w:sz w:val="20"/>
              </w:rPr>
              <w:t>Closed book exam</w:t>
            </w:r>
            <w:r w:rsidR="00F67AFB" w:rsidRPr="002920CF">
              <w:rPr>
                <w:rFonts w:asciiTheme="minorHAnsi" w:hAnsiTheme="minorHAnsi" w:cstheme="minorHAnsi"/>
                <w:sz w:val="20"/>
              </w:rPr>
              <w:t xml:space="preserve"> – 50%</w:t>
            </w:r>
          </w:p>
          <w:p w:rsidR="00657822" w:rsidRPr="002920CF" w:rsidRDefault="00657822" w:rsidP="000A0CFA">
            <w:pPr>
              <w:pStyle w:val="MACNormal"/>
              <w:tabs>
                <w:tab w:val="left" w:pos="0"/>
                <w:tab w:val="left" w:pos="720"/>
              </w:tabs>
              <w:spacing w:line="230" w:lineRule="atLeast"/>
              <w:rPr>
                <w:rFonts w:asciiTheme="minorHAnsi" w:hAnsiTheme="minorHAnsi" w:cstheme="minorHAnsi"/>
                <w:sz w:val="20"/>
              </w:rPr>
            </w:pPr>
            <w:r w:rsidRPr="002920CF">
              <w:rPr>
                <w:rFonts w:asciiTheme="minorHAnsi" w:hAnsiTheme="minorHAnsi" w:cstheme="minorHAnsi"/>
                <w:sz w:val="20"/>
              </w:rPr>
              <w:t>Case study</w:t>
            </w:r>
          </w:p>
          <w:p w:rsidR="00657822" w:rsidRPr="002920CF" w:rsidRDefault="00657822" w:rsidP="000A0CFA">
            <w:pPr>
              <w:pStyle w:val="MACNormal"/>
              <w:tabs>
                <w:tab w:val="left" w:pos="0"/>
                <w:tab w:val="left" w:pos="720"/>
              </w:tabs>
              <w:spacing w:line="230" w:lineRule="atLeast"/>
              <w:rPr>
                <w:rFonts w:asciiTheme="minorHAnsi" w:hAnsiTheme="minorHAnsi" w:cstheme="minorHAnsi"/>
                <w:sz w:val="20"/>
              </w:rPr>
            </w:pPr>
            <w:r w:rsidRPr="002920CF">
              <w:rPr>
                <w:rFonts w:asciiTheme="minorHAnsi" w:hAnsiTheme="minorHAnsi" w:cstheme="minorHAnsi"/>
                <w:sz w:val="20"/>
              </w:rPr>
              <w:t>Coursework assignments / Practical Lab sessions</w:t>
            </w:r>
          </w:p>
          <w:p w:rsidR="00F67AFB" w:rsidRPr="002920CF" w:rsidRDefault="00F67AFB" w:rsidP="000A0CFA">
            <w:pPr>
              <w:pStyle w:val="MACNormal"/>
              <w:tabs>
                <w:tab w:val="left" w:pos="0"/>
                <w:tab w:val="left" w:pos="720"/>
              </w:tabs>
              <w:spacing w:line="230" w:lineRule="atLeast"/>
              <w:rPr>
                <w:rFonts w:asciiTheme="minorHAnsi" w:hAnsiTheme="minorHAnsi" w:cstheme="minorHAnsi"/>
                <w:sz w:val="20"/>
              </w:rPr>
            </w:pPr>
            <w:r w:rsidRPr="002920CF">
              <w:rPr>
                <w:rFonts w:asciiTheme="minorHAnsi" w:hAnsiTheme="minorHAnsi" w:cstheme="minorHAnsi"/>
                <w:sz w:val="20"/>
              </w:rPr>
              <w:t>Coursework – 50%</w:t>
            </w:r>
          </w:p>
          <w:p w:rsidR="00657822" w:rsidRPr="002920CF" w:rsidRDefault="00657822" w:rsidP="000A0CFA">
            <w:pPr>
              <w:pStyle w:val="MACNormal"/>
              <w:tabs>
                <w:tab w:val="left" w:pos="0"/>
                <w:tab w:val="left" w:pos="720"/>
              </w:tabs>
              <w:spacing w:line="230" w:lineRule="atLeast"/>
              <w:rPr>
                <w:rFonts w:asciiTheme="minorHAnsi" w:hAnsiTheme="minorHAnsi" w:cstheme="minorHAnsi"/>
                <w:sz w:val="20"/>
              </w:rPr>
            </w:pPr>
          </w:p>
        </w:tc>
      </w:tr>
      <w:tr w:rsidR="00657822" w:rsidRPr="00877B6F" w:rsidTr="000A0CFA">
        <w:tc>
          <w:tcPr>
            <w:tcW w:w="2127" w:type="dxa"/>
            <w:tcBorders>
              <w:top w:val="single" w:sz="4" w:space="0" w:color="auto"/>
            </w:tcBorders>
          </w:tcPr>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sz w:val="20"/>
                <w:szCs w:val="20"/>
              </w:rPr>
              <w:t>Indicative Sources</w:t>
            </w:r>
          </w:p>
          <w:p w:rsidR="00657822" w:rsidRPr="002920CF" w:rsidRDefault="00657822" w:rsidP="000A0CFA">
            <w:pPr>
              <w:pStyle w:val="PlainText"/>
              <w:rPr>
                <w:rFonts w:asciiTheme="minorHAnsi" w:hAnsiTheme="minorHAnsi" w:cstheme="minorHAnsi"/>
                <w:b/>
                <w:sz w:val="20"/>
                <w:szCs w:val="20"/>
              </w:rPr>
            </w:pPr>
            <w:r w:rsidRPr="002920CF">
              <w:rPr>
                <w:rFonts w:asciiTheme="minorHAnsi" w:hAnsiTheme="minorHAnsi" w:cstheme="minorHAnsi"/>
                <w:b/>
                <w:i/>
                <w:iCs/>
                <w:sz w:val="20"/>
                <w:szCs w:val="20"/>
              </w:rPr>
              <w:t>(Reading lists)</w:t>
            </w:r>
          </w:p>
          <w:p w:rsidR="00657822" w:rsidRPr="002920CF" w:rsidRDefault="00657822" w:rsidP="000A0CFA">
            <w:pPr>
              <w:pStyle w:val="PlainText"/>
              <w:rPr>
                <w:rFonts w:asciiTheme="minorHAnsi" w:hAnsiTheme="minorHAnsi" w:cstheme="minorHAnsi"/>
                <w:b/>
                <w:i/>
                <w:sz w:val="20"/>
                <w:szCs w:val="20"/>
              </w:rPr>
            </w:pPr>
          </w:p>
        </w:tc>
        <w:tc>
          <w:tcPr>
            <w:tcW w:w="7087" w:type="dxa"/>
            <w:tcBorders>
              <w:top w:val="single" w:sz="4" w:space="0" w:color="auto"/>
            </w:tcBorders>
          </w:tcPr>
          <w:p w:rsidR="00657822" w:rsidRPr="002920CF" w:rsidRDefault="00657822" w:rsidP="000A0CFA">
            <w:pPr>
              <w:pStyle w:val="PlainText"/>
              <w:rPr>
                <w:rFonts w:asciiTheme="minorHAnsi" w:hAnsiTheme="minorHAnsi" w:cstheme="minorHAnsi"/>
                <w:sz w:val="20"/>
                <w:szCs w:val="20"/>
              </w:rPr>
            </w:pPr>
            <w:r w:rsidRPr="002920CF">
              <w:rPr>
                <w:rFonts w:asciiTheme="minorHAnsi" w:hAnsiTheme="minorHAnsi" w:cstheme="minorHAnsi"/>
                <w:sz w:val="20"/>
                <w:szCs w:val="20"/>
              </w:rPr>
              <w:t>TBC</w:t>
            </w:r>
          </w:p>
        </w:tc>
      </w:tr>
    </w:tbl>
    <w:p w:rsidR="00657822" w:rsidRDefault="00657822" w:rsidP="00657822">
      <w:pPr>
        <w:rPr>
          <w:rFonts w:asciiTheme="minorHAnsi" w:hAnsiTheme="minorHAnsi" w:cstheme="minorHAnsi"/>
          <w:sz w:val="20"/>
          <w:szCs w:val="20"/>
        </w:rPr>
      </w:pPr>
    </w:p>
    <w:p w:rsidR="00162DB3" w:rsidRDefault="002920CF"/>
    <w:sectPr w:rsidR="00162DB3" w:rsidSect="00FB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MSY1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1EE9"/>
    <w:multiLevelType w:val="hybridMultilevel"/>
    <w:tmpl w:val="0DAA7FA6"/>
    <w:lvl w:ilvl="0" w:tplc="7D1AF590">
      <w:start w:val="1"/>
      <w:numFmt w:val="bullet"/>
      <w:lvlText w:val="-"/>
      <w:lvlJc w:val="left"/>
      <w:pPr>
        <w:ind w:left="1080" w:hanging="360"/>
      </w:pPr>
      <w:rPr>
        <w:rFonts w:ascii="Calibri" w:eastAsiaTheme="minorHAnsi" w:hAnsi="Calibri" w:cs="CMSY10"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DB0C7A"/>
    <w:multiLevelType w:val="hybridMultilevel"/>
    <w:tmpl w:val="8D2E9118"/>
    <w:lvl w:ilvl="0" w:tplc="7D1AF590">
      <w:start w:val="1"/>
      <w:numFmt w:val="bullet"/>
      <w:lvlText w:val="-"/>
      <w:lvlJc w:val="left"/>
      <w:pPr>
        <w:ind w:left="405" w:hanging="360"/>
      </w:pPr>
      <w:rPr>
        <w:rFonts w:ascii="Calibri" w:eastAsiaTheme="minorHAnsi" w:hAnsi="Calibri"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E506B2"/>
    <w:multiLevelType w:val="hybridMultilevel"/>
    <w:tmpl w:val="37C4E9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3D35EB4"/>
    <w:multiLevelType w:val="hybridMultilevel"/>
    <w:tmpl w:val="A7109662"/>
    <w:lvl w:ilvl="0" w:tplc="7D1AF590">
      <w:start w:val="1"/>
      <w:numFmt w:val="bullet"/>
      <w:lvlText w:val="-"/>
      <w:lvlJc w:val="left"/>
      <w:pPr>
        <w:ind w:left="405" w:hanging="360"/>
      </w:pPr>
      <w:rPr>
        <w:rFonts w:ascii="Calibri" w:eastAsiaTheme="minorHAnsi" w:hAnsi="Calibri"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31666B"/>
    <w:multiLevelType w:val="hybridMultilevel"/>
    <w:tmpl w:val="BEFC49F4"/>
    <w:lvl w:ilvl="0" w:tplc="7D1AF590">
      <w:start w:val="1"/>
      <w:numFmt w:val="bullet"/>
      <w:lvlText w:val="-"/>
      <w:lvlJc w:val="left"/>
      <w:pPr>
        <w:ind w:left="720" w:hanging="360"/>
      </w:pPr>
      <w:rPr>
        <w:rFonts w:ascii="Calibri" w:eastAsiaTheme="minorHAnsi" w:hAnsi="Calibri"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822"/>
    <w:rsid w:val="000332FF"/>
    <w:rsid w:val="00222126"/>
    <w:rsid w:val="002920CF"/>
    <w:rsid w:val="003227D8"/>
    <w:rsid w:val="0052149C"/>
    <w:rsid w:val="00657822"/>
    <w:rsid w:val="00781726"/>
    <w:rsid w:val="007B63F4"/>
    <w:rsid w:val="007F3C6D"/>
    <w:rsid w:val="0090187C"/>
    <w:rsid w:val="00944D54"/>
    <w:rsid w:val="00950AFF"/>
    <w:rsid w:val="00976A44"/>
    <w:rsid w:val="00A1432B"/>
    <w:rsid w:val="00C0534D"/>
    <w:rsid w:val="00C10902"/>
    <w:rsid w:val="00D049B4"/>
    <w:rsid w:val="00D42778"/>
    <w:rsid w:val="00E952D0"/>
    <w:rsid w:val="00F67AFB"/>
    <w:rsid w:val="00FB0701"/>
    <w:rsid w:val="00FF6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22"/>
  </w:style>
  <w:style w:type="paragraph" w:styleId="Heading2">
    <w:name w:val="heading 2"/>
    <w:basedOn w:val="Normal"/>
    <w:next w:val="Normal"/>
    <w:link w:val="Heading2Char"/>
    <w:uiPriority w:val="9"/>
    <w:unhideWhenUsed/>
    <w:qFormat/>
    <w:rsid w:val="006578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822"/>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657822"/>
    <w:pPr>
      <w:spacing w:after="0" w:line="240" w:lineRule="auto"/>
    </w:pPr>
    <w:rPr>
      <w:rFonts w:eastAsia="Calibri" w:cs="Times New Roman"/>
      <w:sz w:val="22"/>
      <w:szCs w:val="21"/>
    </w:rPr>
  </w:style>
  <w:style w:type="character" w:customStyle="1" w:styleId="PlainTextChar">
    <w:name w:val="Plain Text Char"/>
    <w:basedOn w:val="DefaultParagraphFont"/>
    <w:link w:val="PlainText"/>
    <w:rsid w:val="00657822"/>
    <w:rPr>
      <w:rFonts w:eastAsia="Calibri" w:cs="Times New Roman"/>
      <w:sz w:val="22"/>
      <w:szCs w:val="21"/>
    </w:rPr>
  </w:style>
  <w:style w:type="paragraph" w:styleId="ListParagraph">
    <w:name w:val="List Paragraph"/>
    <w:basedOn w:val="Normal"/>
    <w:uiPriority w:val="34"/>
    <w:qFormat/>
    <w:rsid w:val="00657822"/>
    <w:pPr>
      <w:ind w:left="720"/>
      <w:contextualSpacing/>
    </w:pPr>
    <w:rPr>
      <w:rFonts w:ascii="Calibri" w:eastAsia="Times New Roman" w:hAnsi="Calibri" w:cs="Times New Roman"/>
      <w:sz w:val="22"/>
      <w:szCs w:val="22"/>
      <w:lang w:eastAsia="en-GB"/>
    </w:rPr>
  </w:style>
  <w:style w:type="paragraph" w:customStyle="1" w:styleId="MACNormal">
    <w:name w:val="MACNormal"/>
    <w:rsid w:val="00657822"/>
    <w:pPr>
      <w:tabs>
        <w:tab w:val="left" w:pos="-1440"/>
        <w:tab w:val="left" w:pos="-720"/>
      </w:tabs>
      <w:spacing w:after="0" w:line="240" w:lineRule="auto"/>
    </w:pPr>
    <w:rPr>
      <w:rFonts w:ascii="Univers" w:eastAsia="Times New Roman" w:hAnsi="Univers" w:cs="Times New Roman"/>
      <w:color w:val="000000"/>
      <w:sz w:val="23"/>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Company>London South Bank University</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Canna2</cp:lastModifiedBy>
  <cp:revision>4</cp:revision>
  <dcterms:created xsi:type="dcterms:W3CDTF">2011-05-16T13:30:00Z</dcterms:created>
  <dcterms:modified xsi:type="dcterms:W3CDTF">2011-07-07T15:09:00Z</dcterms:modified>
</cp:coreProperties>
</file>