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371"/>
      </w:tblGrid>
      <w:tr w:rsidR="00B645F5" w:rsidRPr="00F177DA" w:rsidTr="000A0CFA">
        <w:tc>
          <w:tcPr>
            <w:tcW w:w="2127" w:type="dxa"/>
            <w:shd w:val="clear" w:color="auto" w:fill="FFFFCC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Unit Title</w:t>
            </w:r>
          </w:p>
        </w:tc>
        <w:tc>
          <w:tcPr>
            <w:tcW w:w="7371" w:type="dxa"/>
            <w:shd w:val="clear" w:color="auto" w:fill="FFFFCC"/>
          </w:tcPr>
          <w:p w:rsidR="00B645F5" w:rsidRPr="00725F11" w:rsidRDefault="00B645F5" w:rsidP="000A0CFA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0" w:name="_Toc285373949"/>
            <w:r w:rsidRPr="00725F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Mechanical Principles (Route Specific Unit)</w:t>
            </w:r>
            <w:bookmarkEnd w:id="0"/>
          </w:p>
        </w:tc>
      </w:tr>
      <w:tr w:rsidR="00B645F5" w:rsidRPr="00877B6F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Level</w:t>
            </w:r>
          </w:p>
        </w:tc>
        <w:tc>
          <w:tcPr>
            <w:tcW w:w="7371" w:type="dxa"/>
          </w:tcPr>
          <w:p w:rsidR="00B645F5" w:rsidRPr="00725F11" w:rsidRDefault="00B645F5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B645F5" w:rsidRPr="00877B6F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Reference No.</w:t>
            </w:r>
          </w:p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(showing level)</w:t>
            </w:r>
          </w:p>
        </w:tc>
        <w:tc>
          <w:tcPr>
            <w:tcW w:w="7371" w:type="dxa"/>
          </w:tcPr>
          <w:p w:rsidR="00B645F5" w:rsidRPr="00725F11" w:rsidRDefault="00B22E0F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EEC_4_</w:t>
            </w:r>
            <w:r w:rsidR="00A33B55" w:rsidRPr="00725F11">
              <w:rPr>
                <w:rFonts w:asciiTheme="minorHAnsi" w:hAnsiTheme="minorHAnsi" w:cstheme="minorHAnsi"/>
                <w:sz w:val="20"/>
                <w:szCs w:val="20"/>
              </w:rPr>
              <w:t>976</w:t>
            </w:r>
          </w:p>
        </w:tc>
      </w:tr>
      <w:tr w:rsidR="00B645F5" w:rsidRPr="00877B6F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Credit Value</w:t>
            </w:r>
          </w:p>
        </w:tc>
        <w:tc>
          <w:tcPr>
            <w:tcW w:w="7371" w:type="dxa"/>
          </w:tcPr>
          <w:p w:rsidR="00B645F5" w:rsidRPr="00725F11" w:rsidRDefault="00B645F5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30 CAT points</w:t>
            </w:r>
          </w:p>
        </w:tc>
      </w:tr>
      <w:tr w:rsidR="00B645F5" w:rsidRPr="00877B6F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Student Study Hours</w:t>
            </w:r>
          </w:p>
        </w:tc>
        <w:tc>
          <w:tcPr>
            <w:tcW w:w="7371" w:type="dxa"/>
          </w:tcPr>
          <w:p w:rsidR="00B645F5" w:rsidRPr="00725F11" w:rsidRDefault="00B645F5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Total learning hours: 300 hours</w:t>
            </w:r>
          </w:p>
          <w:p w:rsidR="00B645F5" w:rsidRPr="00725F11" w:rsidRDefault="00B645F5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Contact hours up to 100 hours</w:t>
            </w:r>
          </w:p>
          <w:p w:rsidR="00B645F5" w:rsidRPr="00725F11" w:rsidRDefault="00B645F5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Student managed learning hours: 200 hours or more</w:t>
            </w:r>
          </w:p>
        </w:tc>
      </w:tr>
      <w:tr w:rsidR="00B645F5" w:rsidRPr="00877B6F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Pre-requisite learning</w:t>
            </w:r>
          </w:p>
        </w:tc>
        <w:tc>
          <w:tcPr>
            <w:tcW w:w="7371" w:type="dxa"/>
          </w:tcPr>
          <w:p w:rsidR="00B645F5" w:rsidRPr="00725F11" w:rsidRDefault="00B645F5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B645F5" w:rsidRPr="00877B6F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Co-requisites</w:t>
            </w:r>
          </w:p>
        </w:tc>
        <w:tc>
          <w:tcPr>
            <w:tcW w:w="7371" w:type="dxa"/>
          </w:tcPr>
          <w:p w:rsidR="00B645F5" w:rsidRPr="00725F11" w:rsidRDefault="00B645F5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B645F5" w:rsidRPr="00877B6F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Excluded combinations</w:t>
            </w:r>
          </w:p>
        </w:tc>
        <w:tc>
          <w:tcPr>
            <w:tcW w:w="7371" w:type="dxa"/>
          </w:tcPr>
          <w:p w:rsidR="00B645F5" w:rsidRPr="00725F11" w:rsidRDefault="00B645F5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B645F5" w:rsidRPr="00877B6F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Unit co-ordinator</w:t>
            </w:r>
          </w:p>
        </w:tc>
        <w:tc>
          <w:tcPr>
            <w:tcW w:w="7371" w:type="dxa"/>
          </w:tcPr>
          <w:p w:rsidR="00B645F5" w:rsidRPr="00725F11" w:rsidRDefault="00B645F5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To be advised</w:t>
            </w:r>
          </w:p>
        </w:tc>
      </w:tr>
      <w:tr w:rsidR="00B645F5" w:rsidRPr="00877B6F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Faculty/Department</w:t>
            </w:r>
          </w:p>
        </w:tc>
        <w:tc>
          <w:tcPr>
            <w:tcW w:w="7371" w:type="dxa"/>
          </w:tcPr>
          <w:p w:rsidR="00B645F5" w:rsidRPr="00725F11" w:rsidRDefault="00B645F5" w:rsidP="000A0CFA">
            <w:pPr>
              <w:pStyle w:val="PlainTex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ESBE / Engineering &amp; Design</w:t>
            </w:r>
          </w:p>
        </w:tc>
      </w:tr>
      <w:tr w:rsidR="00B645F5" w:rsidRPr="00877B6F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Short Description</w:t>
            </w:r>
          </w:p>
        </w:tc>
        <w:tc>
          <w:tcPr>
            <w:tcW w:w="7371" w:type="dxa"/>
          </w:tcPr>
          <w:p w:rsidR="00B645F5" w:rsidRPr="00725F11" w:rsidRDefault="00B645F5" w:rsidP="000A0CFA">
            <w:pPr>
              <w:autoSpaceDE w:val="0"/>
              <w:autoSpaceDN w:val="0"/>
              <w:adjustRightInd w:val="0"/>
              <w:spacing w:after="120" w:line="240" w:lineRule="auto"/>
              <w:ind w:left="33" w:hanging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 xml:space="preserve">This unit provides a more in depth investigation of the principles covered in Engineering Principles and Design and Practice which are essential to mechanical and </w:t>
            </w:r>
            <w:proofErr w:type="spellStart"/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mechatronics</w:t>
            </w:r>
            <w:proofErr w:type="spellEnd"/>
            <w:r w:rsidRPr="00725F11">
              <w:rPr>
                <w:rFonts w:asciiTheme="minorHAnsi" w:hAnsiTheme="minorHAnsi" w:cstheme="minorHAnsi"/>
                <w:sz w:val="20"/>
                <w:szCs w:val="20"/>
              </w:rPr>
              <w:t xml:space="preserve"> engineering. Particular attention will be paid to </w:t>
            </w:r>
            <w:proofErr w:type="spellStart"/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Thermofluids</w:t>
            </w:r>
            <w:proofErr w:type="spellEnd"/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, Applied Mechanics and Engineering Materials</w:t>
            </w:r>
          </w:p>
        </w:tc>
      </w:tr>
      <w:tr w:rsidR="00B645F5" w:rsidRPr="00357BFA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Aims</w:t>
            </w:r>
          </w:p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B645F5" w:rsidRPr="00725F11" w:rsidRDefault="00B645F5" w:rsidP="000A0CFA">
            <w:pPr>
              <w:autoSpaceDE w:val="0"/>
              <w:autoSpaceDN w:val="0"/>
              <w:adjustRightInd w:val="0"/>
              <w:spacing w:after="120" w:line="240" w:lineRule="auto"/>
              <w:ind w:left="33" w:hanging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To develop the following:</w:t>
            </w:r>
          </w:p>
          <w:p w:rsidR="00B645F5" w:rsidRPr="00725F11" w:rsidRDefault="00B645F5" w:rsidP="00B645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17" w:hanging="3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25F11">
              <w:rPr>
                <w:rFonts w:asciiTheme="minorHAnsi" w:hAnsiTheme="minorHAnsi" w:cs="Calibri"/>
                <w:sz w:val="20"/>
                <w:szCs w:val="20"/>
              </w:rPr>
              <w:t>rinciples of fluid mechanics, heat transfer and thermodynamics.</w:t>
            </w:r>
          </w:p>
          <w:p w:rsidR="00B645F5" w:rsidRPr="00725F11" w:rsidRDefault="00B645F5" w:rsidP="00B645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17" w:hanging="3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Introduction to the fundamental concepts and basic laws of solid mechanics</w:t>
            </w:r>
          </w:p>
          <w:p w:rsidR="00B645F5" w:rsidRPr="00725F11" w:rsidRDefault="00B645F5" w:rsidP="00B645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317" w:hanging="3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Underlying principles of materials (internal structure, properties and industrial processes) and their application in engineering</w:t>
            </w:r>
          </w:p>
        </w:tc>
      </w:tr>
      <w:tr w:rsidR="00B645F5" w:rsidRPr="003E4D4A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Outcomes</w:t>
            </w:r>
          </w:p>
        </w:tc>
        <w:tc>
          <w:tcPr>
            <w:tcW w:w="7371" w:type="dxa"/>
            <w:noWrap/>
          </w:tcPr>
          <w:p w:rsidR="00B645F5" w:rsidRPr="00725F11" w:rsidRDefault="00B645F5" w:rsidP="000A0CFA">
            <w:pPr>
              <w:spacing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By the end of the unit the student should be able to:</w:t>
            </w:r>
          </w:p>
          <w:p w:rsidR="00B645F5" w:rsidRPr="00725F11" w:rsidRDefault="00B645F5" w:rsidP="000A0CFA">
            <w:pPr>
              <w:spacing w:after="60"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Knowledge and Understanding</w:t>
            </w:r>
          </w:p>
          <w:p w:rsidR="00B645F5" w:rsidRPr="00725F11" w:rsidRDefault="00B645F5" w:rsidP="00B645F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Describe the structure of the main classes of materials and how their properties relate to performance and manufacturing processes</w:t>
            </w:r>
          </w:p>
          <w:p w:rsidR="00B645F5" w:rsidRPr="00725F11" w:rsidRDefault="00B645F5" w:rsidP="00B645F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Apply the Laws of Thermodynamics to problems of fluid states</w:t>
            </w:r>
          </w:p>
          <w:p w:rsidR="00B645F5" w:rsidRPr="00725F11" w:rsidRDefault="00B645F5" w:rsidP="00B645F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Describe convection, conduction and radiation</w:t>
            </w:r>
          </w:p>
          <w:p w:rsidR="00B645F5" w:rsidRPr="00725F11" w:rsidRDefault="00B645F5" w:rsidP="00B645F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Recognise the need for rigid body or deformable body analysis</w:t>
            </w:r>
          </w:p>
          <w:p w:rsidR="00B645F5" w:rsidRPr="00725F11" w:rsidRDefault="00B645F5" w:rsidP="00B645F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Determine the stress and strain in a body under varying environmental conditions</w:t>
            </w:r>
          </w:p>
          <w:p w:rsidR="00B645F5" w:rsidRPr="00725F11" w:rsidRDefault="00B645F5" w:rsidP="000A0CFA">
            <w:pPr>
              <w:spacing w:after="60"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Intellectual Skills</w:t>
            </w:r>
          </w:p>
          <w:p w:rsidR="00B645F5" w:rsidRPr="00725F11" w:rsidRDefault="00B645F5" w:rsidP="00B645F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Work with technical uncertainty</w:t>
            </w:r>
          </w:p>
          <w:p w:rsidR="00B645F5" w:rsidRPr="00725F11" w:rsidRDefault="00B645F5" w:rsidP="000A0CFA">
            <w:pPr>
              <w:spacing w:after="60"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Practical Skills</w:t>
            </w:r>
          </w:p>
          <w:p w:rsidR="00B645F5" w:rsidRPr="00725F11" w:rsidRDefault="00B645F5" w:rsidP="00B645F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Understand the characteristics of particular laboratory equipment and processes</w:t>
            </w:r>
          </w:p>
          <w:p w:rsidR="00B645F5" w:rsidRPr="00725F11" w:rsidRDefault="00B645F5" w:rsidP="000A0CFA">
            <w:pPr>
              <w:spacing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Transferable Skills</w:t>
            </w: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645F5" w:rsidRPr="00725F11" w:rsidRDefault="00B645F5" w:rsidP="00B645F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9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Use numerical and analytical skills to solve problems in physical systems in a systematic manner</w:t>
            </w:r>
          </w:p>
          <w:p w:rsidR="00B645F5" w:rsidRPr="00725F11" w:rsidRDefault="00B645F5" w:rsidP="00B645F5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59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Apply computing  and quantitative skills for the analysis and presentation of complex data</w:t>
            </w:r>
          </w:p>
        </w:tc>
      </w:tr>
      <w:tr w:rsidR="00B645F5" w:rsidRPr="00877B6F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Teaching and learning pattern</w:t>
            </w:r>
          </w:p>
        </w:tc>
        <w:tc>
          <w:tcPr>
            <w:tcW w:w="7371" w:type="dxa"/>
          </w:tcPr>
          <w:p w:rsidR="00B645F5" w:rsidRPr="00725F11" w:rsidRDefault="00B645F5" w:rsidP="000A0CF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TBC</w:t>
            </w:r>
          </w:p>
        </w:tc>
      </w:tr>
      <w:tr w:rsidR="00B645F5" w:rsidRPr="003F3F7C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Indicative content</w:t>
            </w:r>
          </w:p>
        </w:tc>
        <w:tc>
          <w:tcPr>
            <w:tcW w:w="7371" w:type="dxa"/>
          </w:tcPr>
          <w:p w:rsidR="00B645F5" w:rsidRPr="00725F11" w:rsidRDefault="00B645F5" w:rsidP="000A0CFA">
            <w:pPr>
              <w:spacing w:after="60" w:line="240" w:lineRule="auto"/>
              <w:ind w:left="33" w:hanging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 xml:space="preserve">Detailed content of this unit will be developed once that of </w:t>
            </w:r>
            <w:r w:rsidRPr="00725F1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Engineering Principles </w:t>
            </w: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725F1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Design and Practice </w:t>
            </w: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has been confirmed</w:t>
            </w:r>
          </w:p>
        </w:tc>
      </w:tr>
      <w:tr w:rsidR="00B645F5" w:rsidRPr="00877B6F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Assessment</w:t>
            </w:r>
          </w:p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Elements &amp; weightings</w:t>
            </w:r>
          </w:p>
        </w:tc>
        <w:tc>
          <w:tcPr>
            <w:tcW w:w="7371" w:type="dxa"/>
          </w:tcPr>
          <w:p w:rsidR="00B645F5" w:rsidRPr="00725F11" w:rsidRDefault="00B645F5" w:rsidP="000A0CFA">
            <w:pPr>
              <w:pStyle w:val="ListParagraph"/>
              <w:spacing w:after="12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TBC</w:t>
            </w:r>
          </w:p>
        </w:tc>
      </w:tr>
      <w:tr w:rsidR="00B645F5" w:rsidRPr="00877B6F" w:rsidTr="000A0CFA">
        <w:tc>
          <w:tcPr>
            <w:tcW w:w="2127" w:type="dxa"/>
          </w:tcPr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sz w:val="20"/>
                <w:szCs w:val="20"/>
              </w:rPr>
              <w:t>Indicative Sources</w:t>
            </w:r>
          </w:p>
          <w:p w:rsidR="00B645F5" w:rsidRPr="00725F11" w:rsidRDefault="00B645F5" w:rsidP="000A0CFA">
            <w:pPr>
              <w:pStyle w:val="Plai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(Reading lists)</w:t>
            </w:r>
          </w:p>
        </w:tc>
        <w:tc>
          <w:tcPr>
            <w:tcW w:w="7371" w:type="dxa"/>
          </w:tcPr>
          <w:p w:rsidR="00B645F5" w:rsidRPr="00725F11" w:rsidRDefault="00B645F5" w:rsidP="000A0CF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5F11">
              <w:rPr>
                <w:rFonts w:asciiTheme="minorHAnsi" w:hAnsiTheme="minorHAnsi" w:cstheme="minorHAnsi"/>
                <w:sz w:val="20"/>
                <w:szCs w:val="20"/>
              </w:rPr>
              <w:t>TBC</w:t>
            </w:r>
          </w:p>
        </w:tc>
      </w:tr>
    </w:tbl>
    <w:p w:rsidR="00162DB3" w:rsidRDefault="00725F11"/>
    <w:sectPr w:rsidR="00162DB3" w:rsidSect="00FB0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595"/>
    <w:multiLevelType w:val="hybridMultilevel"/>
    <w:tmpl w:val="A7144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4145"/>
    <w:multiLevelType w:val="hybridMultilevel"/>
    <w:tmpl w:val="C75A6C74"/>
    <w:lvl w:ilvl="0" w:tplc="D5E8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5F5"/>
    <w:rsid w:val="00222126"/>
    <w:rsid w:val="003227D8"/>
    <w:rsid w:val="0052149C"/>
    <w:rsid w:val="005C3005"/>
    <w:rsid w:val="00725F11"/>
    <w:rsid w:val="007B63F4"/>
    <w:rsid w:val="0090187C"/>
    <w:rsid w:val="00944D54"/>
    <w:rsid w:val="00976A44"/>
    <w:rsid w:val="00A1432B"/>
    <w:rsid w:val="00A33B55"/>
    <w:rsid w:val="00B22E0F"/>
    <w:rsid w:val="00B645F5"/>
    <w:rsid w:val="00C10902"/>
    <w:rsid w:val="00C96C98"/>
    <w:rsid w:val="00D42778"/>
    <w:rsid w:val="00FB0701"/>
    <w:rsid w:val="00FF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nhideWhenUsed/>
    <w:rsid w:val="00B645F5"/>
    <w:pPr>
      <w:spacing w:after="0" w:line="240" w:lineRule="auto"/>
    </w:pPr>
    <w:rPr>
      <w:rFonts w:eastAsia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B645F5"/>
    <w:rPr>
      <w:rFonts w:eastAsia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B645F5"/>
    <w:pPr>
      <w:ind w:left="720"/>
      <w:contextualSpacing/>
    </w:pPr>
    <w:rPr>
      <w:rFonts w:ascii="Calibri" w:eastAsia="Times New Roman" w:hAnsi="Calibri" w:cs="Times New Roman"/>
      <w:sz w:val="22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>London South Bank University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Canna2</dc:creator>
  <cp:keywords/>
  <dc:description/>
  <cp:lastModifiedBy>Canna2</cp:lastModifiedBy>
  <cp:revision>3</cp:revision>
  <dcterms:created xsi:type="dcterms:W3CDTF">2011-05-16T13:08:00Z</dcterms:created>
  <dcterms:modified xsi:type="dcterms:W3CDTF">2011-07-07T14:54:00Z</dcterms:modified>
</cp:coreProperties>
</file>