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910"/>
        <w:gridCol w:w="2910"/>
        <w:gridCol w:w="1802"/>
        <w:gridCol w:w="2023"/>
      </w:tblGrid>
      <w:tr w:rsidR="00647B31" w:rsidRPr="0004287B" w:rsidTr="00422CDA">
        <w:trPr>
          <w:trHeight w:val="171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American University of Ras Al Khaimah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School of Arts and Sciences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B.A. in Communication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Number: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pStyle w:val="Heading2"/>
            </w:pPr>
            <w:r w:rsidRPr="0004287B">
              <w:t> </w:t>
            </w:r>
            <w:bookmarkStart w:id="0" w:name="_Toc357423638"/>
            <w:bookmarkStart w:id="1" w:name="_Toc379901341"/>
            <w:proofErr w:type="gramStart"/>
            <w:r w:rsidRPr="0004287B">
              <w:t>COMM  223</w:t>
            </w:r>
            <w:bookmarkEnd w:id="0"/>
            <w:bookmarkEnd w:id="1"/>
            <w:proofErr w:type="gramEnd"/>
            <w:r w:rsidRPr="0004287B">
              <w:tab/>
            </w:r>
            <w:r w:rsidRPr="0004287B">
              <w:tab/>
            </w:r>
            <w:r w:rsidRPr="0004287B">
              <w:tab/>
            </w:r>
            <w:r w:rsidRPr="0004287B">
              <w:tab/>
            </w:r>
            <w:r w:rsidRPr="0004287B">
              <w:tab/>
            </w:r>
            <w:r w:rsidRPr="0004287B">
              <w:tab/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Title: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bookmarkStart w:id="2" w:name="_GoBack"/>
            <w:r w:rsidRPr="0004287B">
              <w:rPr>
                <w:sz w:val="22"/>
              </w:rPr>
              <w:t>Globalization and Media Cultures</w:t>
            </w:r>
          </w:p>
          <w:bookmarkEnd w:id="2"/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93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Prerequisite: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COMM 110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Credit Hours: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3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</w:tc>
      </w:tr>
      <w:tr w:rsidR="00647B31" w:rsidRPr="0004287B" w:rsidTr="00422CDA">
        <w:trPr>
          <w:trHeight w:val="30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Office Hours: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131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Description: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iCs/>
                <w:sz w:val="22"/>
              </w:rPr>
              <w:t xml:space="preserve">Learners in this course apply communication strategies to and investigate real-world case study challenges with a global worldview of various issues of global media cultures. Students learn how to develop a </w:t>
            </w:r>
            <w:r w:rsidRPr="0004287B">
              <w:rPr>
                <w:i/>
                <w:iCs/>
                <w:sz w:val="22"/>
              </w:rPr>
              <w:t>Weltanschauung</w:t>
            </w:r>
            <w:r w:rsidRPr="0004287B">
              <w:rPr>
                <w:iCs/>
                <w:sz w:val="22"/>
              </w:rPr>
              <w:t xml:space="preserve"> from which to best communicate in modern technologies with world audience. </w:t>
            </w: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24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Materials and Resources: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  <w:r w:rsidRPr="0004287B">
              <w:rPr>
                <w:rFonts w:eastAsia="Calibri"/>
                <w:sz w:val="22"/>
              </w:rPr>
              <w:t xml:space="preserve">Myra Macdonald, </w:t>
            </w:r>
            <w:r w:rsidRPr="0004287B">
              <w:rPr>
                <w:rFonts w:eastAsia="Calibri"/>
                <w:i/>
                <w:sz w:val="22"/>
              </w:rPr>
              <w:t>Exploring Media Discourse</w:t>
            </w:r>
            <w:r w:rsidRPr="0004287B">
              <w:rPr>
                <w:rFonts w:eastAsia="Calibri"/>
                <w:sz w:val="22"/>
              </w:rPr>
              <w:t>. (London: Arnold 2003) or latest edition.</w:t>
            </w: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  <w:proofErr w:type="spellStart"/>
            <w:r w:rsidRPr="0004287B">
              <w:rPr>
                <w:rFonts w:eastAsia="Calibri"/>
                <w:sz w:val="22"/>
              </w:rPr>
              <w:t>Terhi</w:t>
            </w:r>
            <w:proofErr w:type="spellEnd"/>
            <w:r w:rsidRPr="0004287B">
              <w:rPr>
                <w:rFonts w:eastAsia="Calibri"/>
                <w:sz w:val="22"/>
              </w:rPr>
              <w:t xml:space="preserve"> </w:t>
            </w:r>
            <w:proofErr w:type="spellStart"/>
            <w:r w:rsidRPr="0004287B">
              <w:rPr>
                <w:rFonts w:eastAsia="Calibri"/>
                <w:sz w:val="22"/>
              </w:rPr>
              <w:t>Rantanen</w:t>
            </w:r>
            <w:proofErr w:type="spellEnd"/>
            <w:r w:rsidRPr="0004287B">
              <w:rPr>
                <w:rFonts w:eastAsia="Calibri"/>
                <w:sz w:val="22"/>
              </w:rPr>
              <w:t xml:space="preserve">, </w:t>
            </w:r>
            <w:r w:rsidRPr="0004287B">
              <w:rPr>
                <w:rFonts w:eastAsia="Calibri"/>
                <w:i/>
                <w:sz w:val="22"/>
              </w:rPr>
              <w:t>The Media and Globalization</w:t>
            </w:r>
            <w:r w:rsidRPr="0004287B">
              <w:rPr>
                <w:rFonts w:eastAsia="Calibri"/>
                <w:sz w:val="22"/>
              </w:rPr>
              <w:t>. (London: Sage 2005) or latest edition.</w:t>
            </w: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  <w:r w:rsidRPr="0004287B">
              <w:rPr>
                <w:rFonts w:eastAsia="Calibri"/>
                <w:sz w:val="22"/>
              </w:rPr>
              <w:t xml:space="preserve">Roger Silverstone, </w:t>
            </w:r>
            <w:r w:rsidRPr="0004287B">
              <w:rPr>
                <w:rFonts w:eastAsia="Calibri"/>
                <w:i/>
                <w:sz w:val="22"/>
              </w:rPr>
              <w:t>Media and Morality: On the Rise of the Mediapolis</w:t>
            </w:r>
            <w:r w:rsidRPr="0004287B">
              <w:rPr>
                <w:rFonts w:eastAsia="Calibri"/>
                <w:sz w:val="22"/>
              </w:rPr>
              <w:t>. (London: Polity, 2006) or latest edition.</w:t>
            </w:r>
          </w:p>
          <w:p w:rsidR="00647B31" w:rsidRPr="0004287B" w:rsidRDefault="00647B31" w:rsidP="00422CDA">
            <w:pPr>
              <w:widowControl/>
              <w:kinsoku/>
              <w:contextualSpacing/>
              <w:rPr>
                <w:rFonts w:eastAsia="Calibri"/>
                <w:sz w:val="22"/>
              </w:rPr>
            </w:pPr>
          </w:p>
          <w:p w:rsidR="00647B31" w:rsidRPr="0004287B" w:rsidRDefault="00647B31" w:rsidP="00422CDA">
            <w:pPr>
              <w:widowControl/>
              <w:kinsoku/>
              <w:contextualSpacing/>
              <w:rPr>
                <w:sz w:val="22"/>
              </w:rPr>
            </w:pPr>
            <w:r w:rsidRPr="0004287B">
              <w:rPr>
                <w:rFonts w:eastAsia="Calibri"/>
                <w:sz w:val="22"/>
              </w:rPr>
              <w:t>John Tomlinson, Globalization</w:t>
            </w:r>
            <w:r w:rsidRPr="0004287B">
              <w:rPr>
                <w:rFonts w:eastAsia="Calibri"/>
                <w:i/>
                <w:sz w:val="22"/>
              </w:rPr>
              <w:t xml:space="preserve"> and Culture.</w:t>
            </w:r>
            <w:r w:rsidRPr="0004287B">
              <w:rPr>
                <w:rFonts w:eastAsia="Calibri"/>
                <w:sz w:val="22"/>
              </w:rPr>
              <w:t xml:space="preserve"> (Cambridge: Polity, 1999) or latest edition.</w:t>
            </w:r>
          </w:p>
        </w:tc>
      </w:tr>
      <w:tr w:rsidR="00647B31" w:rsidRPr="0004287B" w:rsidTr="00422CDA">
        <w:trPr>
          <w:trHeight w:val="26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Student Learning Outcomes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ind w:left="237" w:hanging="237"/>
              <w:rPr>
                <w:sz w:val="22"/>
              </w:rPr>
            </w:pPr>
            <w:r w:rsidRPr="0004287B">
              <w:rPr>
                <w:sz w:val="22"/>
              </w:rPr>
              <w:t xml:space="preserve">At the end of the course the learner is able to: </w:t>
            </w:r>
          </w:p>
          <w:p w:rsidR="00647B31" w:rsidRPr="0004287B" w:rsidRDefault="00647B31" w:rsidP="00422CDA">
            <w:pPr>
              <w:ind w:left="237" w:hanging="237"/>
              <w:rPr>
                <w:sz w:val="22"/>
              </w:rPr>
            </w:pPr>
          </w:p>
          <w:p w:rsidR="00647B31" w:rsidRPr="0004287B" w:rsidRDefault="00647B31" w:rsidP="00647B31">
            <w:pPr>
              <w:widowControl/>
              <w:numPr>
                <w:ilvl w:val="0"/>
                <w:numId w:val="1"/>
              </w:numPr>
              <w:kinsoku/>
              <w:contextualSpacing/>
              <w:rPr>
                <w:rFonts w:eastAsia="Calibri"/>
                <w:sz w:val="22"/>
              </w:rPr>
            </w:pPr>
            <w:r w:rsidRPr="0004287B">
              <w:rPr>
                <w:rFonts w:eastAsia="Calibri"/>
                <w:sz w:val="22"/>
                <w:szCs w:val="22"/>
              </w:rPr>
              <w:t>Explain theories and concepts from globalization studies and media studies;</w:t>
            </w:r>
          </w:p>
          <w:p w:rsidR="00647B31" w:rsidRPr="0004287B" w:rsidRDefault="00647B31" w:rsidP="00647B31">
            <w:pPr>
              <w:widowControl/>
              <w:numPr>
                <w:ilvl w:val="0"/>
                <w:numId w:val="1"/>
              </w:numPr>
              <w:kinsoku/>
              <w:contextualSpacing/>
              <w:rPr>
                <w:rFonts w:eastAsia="Calibri"/>
                <w:sz w:val="22"/>
              </w:rPr>
            </w:pPr>
            <w:r w:rsidRPr="0004287B">
              <w:rPr>
                <w:rFonts w:eastAsia="Calibri"/>
                <w:sz w:val="22"/>
                <w:szCs w:val="22"/>
              </w:rPr>
              <w:t>Articulate the social, political, cultural, and moral relevance in understanding the media’s role in processes of globalization;</w:t>
            </w:r>
          </w:p>
          <w:p w:rsidR="00647B31" w:rsidRPr="0004287B" w:rsidRDefault="00647B31" w:rsidP="00647B31">
            <w:pPr>
              <w:widowControl/>
              <w:numPr>
                <w:ilvl w:val="0"/>
                <w:numId w:val="1"/>
              </w:numPr>
              <w:kinsoku/>
              <w:contextualSpacing/>
              <w:rPr>
                <w:sz w:val="22"/>
              </w:rPr>
            </w:pPr>
            <w:r w:rsidRPr="0004287B">
              <w:rPr>
                <w:rFonts w:eastAsia="Calibri"/>
                <w:sz w:val="22"/>
                <w:szCs w:val="22"/>
              </w:rPr>
              <w:t xml:space="preserve">Evaluate the effectiveness and fairness of the media in reporting on national and international news; </w:t>
            </w:r>
          </w:p>
          <w:p w:rsidR="00647B31" w:rsidRPr="0004287B" w:rsidRDefault="00647B31" w:rsidP="00647B31">
            <w:pPr>
              <w:widowControl/>
              <w:numPr>
                <w:ilvl w:val="0"/>
                <w:numId w:val="1"/>
              </w:numPr>
              <w:kinsoku/>
              <w:contextualSpacing/>
              <w:rPr>
                <w:sz w:val="22"/>
              </w:rPr>
            </w:pPr>
            <w:r w:rsidRPr="0004287B">
              <w:rPr>
                <w:rFonts w:eastAsia="Calibri"/>
                <w:sz w:val="22"/>
                <w:szCs w:val="22"/>
              </w:rPr>
              <w:t xml:space="preserve">Reference valid, reliable sources on issues around globalization and the media. </w:t>
            </w:r>
          </w:p>
        </w:tc>
      </w:tr>
      <w:tr w:rsidR="00647B31" w:rsidRPr="0004287B" w:rsidTr="00422CDA">
        <w:trPr>
          <w:trHeight w:val="3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Topics: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1: Introduces course aims, methods, and requirements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2: Does globalization make the world the same or different?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3: The media’s role in a globalizing world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4: The value of the study of representations in the context of globalization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5: Otherness in popular media representations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lastRenderedPageBreak/>
              <w:t>Week 6: Students present an analysis of how their chosen media text/s construct(s) the Other. PROJECTS ASSIGNED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7: Concepts of “identity” in relation to theories of modernity: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8: Concepts of imagined community and explores the powerful of the nation in a globalizing world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9: How the concept of “diaspora” disrupts fixed notions of nation, culture, identity, and the media. MIDTERM EXAM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10: Students present case studies that explore media power in the contexts of identity, nation, and/or diaspora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11: Impact of identity politics and resistance movements on the global stage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12: Reflects on the strengths and weaknesses of the news industry in eliciting compassion for vulnerable others: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13: Discusses the reporting of environmental catastrophes in the globalized world. PROJECTS DUE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14:  Morality and ethics in studying the news. PROJECT PRESENTATIONS</w:t>
            </w:r>
            <w:r w:rsidRPr="0004287B">
              <w:rPr>
                <w:sz w:val="22"/>
              </w:rPr>
              <w:br/>
              <w:t>Week 15: Cosmopolitanism. PROJECT PRESENTATIONS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16: FINAL EXAM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</w:tc>
      </w:tr>
      <w:tr w:rsidR="00647B31" w:rsidRPr="0004287B" w:rsidTr="00422CDA">
        <w:trPr>
          <w:trHeight w:val="152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lastRenderedPageBreak/>
              <w:t>Evaluation Plan: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Homework</w:t>
            </w:r>
            <w:r w:rsidRPr="0004287B">
              <w:rPr>
                <w:sz w:val="22"/>
              </w:rPr>
              <w:tab/>
              <w:t xml:space="preserve">            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Quizzes</w:t>
            </w:r>
            <w:r w:rsidRPr="0004287B">
              <w:rPr>
                <w:sz w:val="22"/>
              </w:rPr>
              <w:tab/>
            </w:r>
            <w:r w:rsidRPr="0004287B">
              <w:rPr>
                <w:sz w:val="22"/>
              </w:rPr>
              <w:tab/>
              <w:t xml:space="preserve">            5%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Attendance</w:t>
            </w:r>
            <w:r w:rsidRPr="0004287B">
              <w:rPr>
                <w:sz w:val="22"/>
              </w:rPr>
              <w:tab/>
              <w:t xml:space="preserve">            5%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Project</w:t>
            </w:r>
            <w:r w:rsidRPr="0004287B">
              <w:rPr>
                <w:sz w:val="22"/>
              </w:rPr>
              <w:tab/>
            </w:r>
            <w:r w:rsidRPr="0004287B">
              <w:rPr>
                <w:sz w:val="22"/>
              </w:rPr>
              <w:tab/>
              <w:t xml:space="preserve">            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Midterm Exam              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Final Exam</w:t>
            </w:r>
            <w:r w:rsidRPr="0004287B">
              <w:rPr>
                <w:sz w:val="22"/>
              </w:rPr>
              <w:tab/>
              <w:t xml:space="preserve">            30% </w:t>
            </w:r>
          </w:p>
        </w:tc>
      </w:tr>
      <w:tr w:rsidR="00647B31" w:rsidRPr="0004287B" w:rsidTr="00422CDA">
        <w:trPr>
          <w:trHeight w:val="9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   Methodologies for  Teaching and Learning: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4287B">
              <w:rPr>
                <w:sz w:val="22"/>
                <w:szCs w:val="22"/>
              </w:rPr>
              <w:t xml:space="preserve">Lecture, pair, small group and class discussion, oral presentations, writing, reading, summaries, essays and personal responses, and guided reading, </w:t>
            </w: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9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Honor Code and System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287B">
              <w:rPr>
                <w:sz w:val="22"/>
                <w:szCs w:val="22"/>
              </w:rPr>
              <w:t xml:space="preserve">Students are responsible to follow the AURAK Honor Code and to understand and avoid all forms of academic dishonesty and plagiarism. Please see </w:t>
            </w:r>
            <w:hyperlink r:id="rId5" w:history="1">
              <w:r w:rsidRPr="0004287B">
                <w:rPr>
                  <w:rStyle w:val="Hyperlink"/>
                  <w:sz w:val="22"/>
                  <w:szCs w:val="22"/>
                </w:rPr>
                <w:t>http://www.aurak.ac.ae/en/student-life/aurak-honor-code.html</w:t>
              </w:r>
            </w:hyperlink>
            <w:r w:rsidRPr="0004287B">
              <w:rPr>
                <w:sz w:val="22"/>
                <w:szCs w:val="22"/>
              </w:rPr>
              <w:t xml:space="preserve">. </w:t>
            </w:r>
          </w:p>
        </w:tc>
      </w:tr>
      <w:tr w:rsidR="00647B31" w:rsidRPr="0004287B" w:rsidTr="00422CDA">
        <w:trPr>
          <w:trHeight w:val="171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American University of Ras Al Khaimah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School of Arts and Sciences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B.A. in Communication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Number: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pStyle w:val="Heading2"/>
            </w:pPr>
            <w:r w:rsidRPr="0004287B">
              <w:t> </w:t>
            </w:r>
            <w:bookmarkStart w:id="3" w:name="_Toc357423639"/>
            <w:bookmarkStart w:id="4" w:name="_Toc379901342"/>
            <w:r w:rsidRPr="0004287B">
              <w:t>COMM 311</w:t>
            </w:r>
            <w:bookmarkEnd w:id="3"/>
            <w:bookmarkEnd w:id="4"/>
            <w:r w:rsidRPr="0004287B">
              <w:tab/>
            </w:r>
            <w:r w:rsidRPr="0004287B">
              <w:tab/>
              <w:t xml:space="preserve"> </w:t>
            </w:r>
            <w:r w:rsidRPr="0004287B">
              <w:tab/>
            </w:r>
            <w:r w:rsidRPr="0004287B">
              <w:tab/>
            </w:r>
            <w:r w:rsidRPr="0004287B">
              <w:tab/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Title: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Ethics of Communication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93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Prerequisite: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PHIL 101 and COMM 111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Credit Hours: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3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</w:tc>
      </w:tr>
      <w:tr w:rsidR="00647B31" w:rsidRPr="0004287B" w:rsidTr="00422CDA">
        <w:trPr>
          <w:trHeight w:val="75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Requirement: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Core requirement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Time: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Classroom: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Instructor: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Office: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Phone: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Email: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30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Office Hours: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</w:tc>
      </w:tr>
      <w:tr w:rsidR="00647B31" w:rsidRPr="0004287B" w:rsidTr="00422CDA">
        <w:trPr>
          <w:trHeight w:val="131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Description: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Learners will engage </w:t>
            </w:r>
            <w:r w:rsidRPr="0004287B">
              <w:rPr>
                <w:sz w:val="22"/>
                <w:szCs w:val="22"/>
              </w:rPr>
              <w:t>the philosophical underpinnings of ethics and the core principles of journalism and mass communication</w:t>
            </w:r>
            <w:r w:rsidRPr="0004287B">
              <w:rPr>
                <w:sz w:val="22"/>
              </w:rPr>
              <w:t xml:space="preserve"> to develop an understanding and appreciation of the field’s normative ethical values. Students will learn how to apply an ethical decision-making framework to a variety of challenges. </w:t>
            </w:r>
          </w:p>
          <w:p w:rsidR="00647B31" w:rsidRPr="0004287B" w:rsidRDefault="00647B31" w:rsidP="00422CDA">
            <w:pPr>
              <w:rPr>
                <w:sz w:val="22"/>
              </w:rPr>
            </w:pPr>
          </w:p>
        </w:tc>
      </w:tr>
      <w:tr w:rsidR="00647B31" w:rsidRPr="0004287B" w:rsidTr="00422CDA">
        <w:trPr>
          <w:trHeight w:val="149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Course Materials and Resources: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Phillip Patterson and Lee Wilkins, </w:t>
            </w:r>
            <w:r w:rsidRPr="0004287B">
              <w:rPr>
                <w:i/>
                <w:sz w:val="22"/>
              </w:rPr>
              <w:t>Media Ethics: Issues and Cases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(New York: McGraw-Hill, 2010) or latest edition. [ISBN-13: 9780073511948]</w:t>
            </w:r>
          </w:p>
        </w:tc>
      </w:tr>
      <w:tr w:rsidR="00647B31" w:rsidRPr="0004287B" w:rsidTr="00422CDA">
        <w:trPr>
          <w:trHeight w:val="4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Student Learning Outcomes: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At the end of the course the learner is able to: </w:t>
            </w:r>
          </w:p>
          <w:p w:rsidR="00647B31" w:rsidRPr="0004287B" w:rsidRDefault="00647B31" w:rsidP="00647B31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04287B">
              <w:rPr>
                <w:sz w:val="22"/>
              </w:rPr>
              <w:t>Apply principal theories of ethics as described by ancient and modern philosophers;</w:t>
            </w:r>
          </w:p>
          <w:p w:rsidR="00647B31" w:rsidRPr="0004287B" w:rsidRDefault="00647B31" w:rsidP="00647B3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4287B">
              <w:rPr>
                <w:sz w:val="22"/>
              </w:rPr>
              <w:t xml:space="preserve">Determine ethical issues in communication case studies and  accommodate them in practice; </w:t>
            </w:r>
          </w:p>
          <w:p w:rsidR="00647B31" w:rsidRPr="0004287B" w:rsidRDefault="00647B31" w:rsidP="00647B3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4287B">
              <w:rPr>
                <w:sz w:val="22"/>
              </w:rPr>
              <w:t xml:space="preserve">Apply critical skills of reason and analysis to ethical problems; </w:t>
            </w:r>
          </w:p>
          <w:p w:rsidR="00647B31" w:rsidRPr="0004287B" w:rsidRDefault="00647B31" w:rsidP="00647B3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4287B">
              <w:rPr>
                <w:sz w:val="22"/>
              </w:rPr>
              <w:t>Tolerate disagreement and ambiguity in ethical considerations.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Topics: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1: Introduction, ethical relativism, movie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2: Professionalism and ethics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3: Not all opinions are created equal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4: Making decisions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5: Decision making and duplicity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6:  Privacy rights PROJECT ASSIGNED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7: Confidentiality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8: Conflicts of interest MIDTERM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9: Economics and responsibility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10: Freedom and responsibility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11: Media and social issues.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12: Media stereotypes.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13: Obscenity/ Ethics and the juvenile audience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14: Ethics and popular culture, media in corporate society</w:t>
            </w:r>
            <w:r w:rsidRPr="0004287B">
              <w:rPr>
                <w:sz w:val="22"/>
              </w:rPr>
              <w:br/>
              <w:t xml:space="preserve">                          PROJECT PRESENTATIONS  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Week 15: PROJECT PRESENTATIONS   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Week 16:  Final Examination.</w:t>
            </w:r>
          </w:p>
        </w:tc>
      </w:tr>
      <w:tr w:rsidR="00647B31" w:rsidRPr="0004287B" w:rsidTr="00422CDA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Evaluation Plan: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 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Homework</w:t>
            </w:r>
            <w:r w:rsidRPr="0004287B">
              <w:rPr>
                <w:sz w:val="22"/>
              </w:rPr>
              <w:tab/>
              <w:t>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Quizzes</w:t>
            </w:r>
            <w:r w:rsidRPr="0004287B">
              <w:rPr>
                <w:sz w:val="22"/>
              </w:rPr>
              <w:tab/>
            </w:r>
            <w:r w:rsidRPr="0004287B">
              <w:rPr>
                <w:sz w:val="22"/>
              </w:rPr>
              <w:tab/>
              <w:t>5%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Attendance        5%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Project</w:t>
            </w:r>
            <w:r w:rsidRPr="0004287B">
              <w:rPr>
                <w:sz w:val="22"/>
              </w:rPr>
              <w:tab/>
            </w:r>
            <w:r w:rsidRPr="0004287B">
              <w:rPr>
                <w:sz w:val="22"/>
              </w:rPr>
              <w:tab/>
              <w:t>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Midterm Exam</w:t>
            </w:r>
            <w:r w:rsidRPr="0004287B">
              <w:rPr>
                <w:sz w:val="22"/>
              </w:rPr>
              <w:tab/>
              <w:t>20%</w:t>
            </w:r>
          </w:p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Final Exam</w:t>
            </w:r>
            <w:r w:rsidRPr="0004287B">
              <w:rPr>
                <w:sz w:val="22"/>
              </w:rPr>
              <w:tab/>
              <w:t>30% </w:t>
            </w:r>
          </w:p>
        </w:tc>
      </w:tr>
      <w:tr w:rsidR="00647B31" w:rsidRPr="0004287B" w:rsidTr="00422CDA">
        <w:trPr>
          <w:trHeight w:val="64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 xml:space="preserve">   Methodologies for  Teaching and Learning: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  <w:szCs w:val="22"/>
              </w:rPr>
              <w:t>Lecture, pair, small group and class discussion, oral presentations, writing, reading, summaries, essays and personal responses, and guided reading,</w:t>
            </w:r>
          </w:p>
        </w:tc>
      </w:tr>
      <w:tr w:rsidR="00647B31" w:rsidRPr="0004287B" w:rsidTr="00422CDA">
        <w:trPr>
          <w:trHeight w:val="64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1" w:rsidRPr="0004287B" w:rsidRDefault="00647B31" w:rsidP="00422CDA">
            <w:pPr>
              <w:rPr>
                <w:sz w:val="22"/>
              </w:rPr>
            </w:pPr>
            <w:r w:rsidRPr="0004287B">
              <w:rPr>
                <w:sz w:val="22"/>
              </w:rPr>
              <w:t>Honor Code and System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31" w:rsidRPr="0004287B" w:rsidRDefault="00647B31" w:rsidP="00422CDA">
            <w:pPr>
              <w:rPr>
                <w:sz w:val="22"/>
                <w:szCs w:val="22"/>
              </w:rPr>
            </w:pPr>
            <w:r w:rsidRPr="0004287B">
              <w:rPr>
                <w:sz w:val="22"/>
                <w:szCs w:val="22"/>
              </w:rPr>
              <w:t xml:space="preserve">Students are responsible to follow the AURAK Honor Code and to understand and avoid all forms of academic dishonesty and plagiarism. Please see </w:t>
            </w:r>
            <w:hyperlink r:id="rId6" w:history="1">
              <w:r w:rsidRPr="0004287B">
                <w:rPr>
                  <w:rStyle w:val="Hyperlink"/>
                  <w:sz w:val="22"/>
                  <w:szCs w:val="22"/>
                </w:rPr>
                <w:t>http://www.aurak.ac.ae/en/student-life/aurak-honor-code.html</w:t>
              </w:r>
            </w:hyperlink>
            <w:r w:rsidRPr="0004287B">
              <w:rPr>
                <w:sz w:val="22"/>
                <w:szCs w:val="22"/>
              </w:rPr>
              <w:t xml:space="preserve">. </w:t>
            </w:r>
          </w:p>
        </w:tc>
      </w:tr>
    </w:tbl>
    <w:p w:rsidR="00CE3A45" w:rsidRDefault="00CE3A45"/>
    <w:sectPr w:rsidR="00CE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C1C"/>
    <w:multiLevelType w:val="hybridMultilevel"/>
    <w:tmpl w:val="F172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E35"/>
    <w:multiLevelType w:val="hybridMultilevel"/>
    <w:tmpl w:val="0FF4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C31AF"/>
    <w:multiLevelType w:val="hybridMultilevel"/>
    <w:tmpl w:val="A8DA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31"/>
    <w:rsid w:val="0062754B"/>
    <w:rsid w:val="00647B31"/>
    <w:rsid w:val="00C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A6A59-19CA-4CA3-B9E6-A94E575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3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47B31"/>
    <w:pPr>
      <w:keepNext/>
      <w:keepLines/>
      <w:outlineLvl w:val="1"/>
    </w:pPr>
    <w:rPr>
      <w:rFonts w:eastAsiaTheme="majorEastAsia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47B31"/>
    <w:rPr>
      <w:rFonts w:ascii="Times New Roman" w:eastAsiaTheme="majorEastAsia" w:hAnsi="Times New Roman" w:cstheme="majorBidi"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47B31"/>
    <w:pPr>
      <w:widowControl/>
      <w:kinsoku/>
      <w:ind w:left="720"/>
      <w:contextualSpacing/>
      <w:jc w:val="both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47B31"/>
    <w:rPr>
      <w:rFonts w:ascii="Times New Roman" w:eastAsia="Calibri" w:hAnsi="Times New Roman" w:cs="Arial"/>
      <w:sz w:val="24"/>
    </w:rPr>
  </w:style>
  <w:style w:type="character" w:styleId="Hyperlink">
    <w:name w:val="Hyperlink"/>
    <w:basedOn w:val="DefaultParagraphFont"/>
    <w:uiPriority w:val="99"/>
    <w:rsid w:val="00647B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ak.ac.ae/en/student-life/aurak-honor-code.html" TargetMode="External"/><Relationship Id="rId5" Type="http://schemas.openxmlformats.org/officeDocument/2006/relationships/hyperlink" Target="http://www.aurak.ac.ae/en/student-life/aurak-honor-co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 M. Abella</dc:creator>
  <cp:lastModifiedBy>Eduard</cp:lastModifiedBy>
  <cp:revision>2</cp:revision>
  <dcterms:created xsi:type="dcterms:W3CDTF">2016-12-22T19:43:00Z</dcterms:created>
  <dcterms:modified xsi:type="dcterms:W3CDTF">2016-12-22T19:43:00Z</dcterms:modified>
</cp:coreProperties>
</file>